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91F0A1" w14:textId="2B81416A" w:rsidR="006C4A49" w:rsidRPr="00C8730B" w:rsidRDefault="006C4A49" w:rsidP="006C4A49">
      <w:bookmarkStart w:id="0" w:name="_GoBack"/>
      <w:bookmarkEnd w:id="0"/>
      <w:r w:rsidRPr="00C8730B">
        <w:rPr>
          <w:b/>
          <w:bCs/>
          <w:u w:val="single"/>
        </w:rPr>
        <w:t>Attendees</w:t>
      </w:r>
    </w:p>
    <w:p w14:paraId="4CC947D9" w14:textId="77777777" w:rsidR="006C4A49" w:rsidRPr="00C8730B" w:rsidRDefault="006C4A49" w:rsidP="006C4A49">
      <w:pPr>
        <w:numPr>
          <w:ilvl w:val="0"/>
          <w:numId w:val="14"/>
        </w:numPr>
        <w:ind w:left="720" w:hanging="360"/>
        <w:textAlignment w:val="center"/>
      </w:pPr>
      <w:r w:rsidRPr="00C8730B">
        <w:t>MC&amp;FP</w:t>
      </w:r>
    </w:p>
    <w:p w14:paraId="60D6374E" w14:textId="77777777" w:rsidR="006C4A49" w:rsidRPr="00C8730B" w:rsidRDefault="006C4A49" w:rsidP="006C4A49">
      <w:pPr>
        <w:numPr>
          <w:ilvl w:val="1"/>
          <w:numId w:val="14"/>
        </w:numPr>
        <w:textAlignment w:val="center"/>
      </w:pPr>
      <w:r w:rsidRPr="00C8730B">
        <w:t xml:space="preserve">Paulette Freese </w:t>
      </w:r>
    </w:p>
    <w:p w14:paraId="1514A59F" w14:textId="77777777" w:rsidR="006C4A49" w:rsidRPr="00C8730B" w:rsidRDefault="006C4A49" w:rsidP="006C4A49">
      <w:pPr>
        <w:numPr>
          <w:ilvl w:val="0"/>
          <w:numId w:val="14"/>
        </w:numPr>
        <w:ind w:left="720" w:hanging="360"/>
        <w:textAlignment w:val="center"/>
      </w:pPr>
      <w:r w:rsidRPr="00C8730B">
        <w:t xml:space="preserve">DFAS – Indianapolis </w:t>
      </w:r>
    </w:p>
    <w:p w14:paraId="54228905" w14:textId="4CB2A216" w:rsidR="006C4A49" w:rsidRPr="00C8730B" w:rsidRDefault="006C4A49" w:rsidP="006C4A49">
      <w:pPr>
        <w:numPr>
          <w:ilvl w:val="1"/>
          <w:numId w:val="14"/>
        </w:numPr>
        <w:textAlignment w:val="center"/>
      </w:pPr>
      <w:r w:rsidRPr="00C8730B">
        <w:t>Maranda Summers, Robert Haines</w:t>
      </w:r>
      <w:r w:rsidR="00FF3E24">
        <w:t>, Susan Haines</w:t>
      </w:r>
    </w:p>
    <w:p w14:paraId="4BEF70DD" w14:textId="77777777" w:rsidR="006C4A49" w:rsidRPr="00C8730B" w:rsidRDefault="006C4A49" w:rsidP="006C4A49">
      <w:pPr>
        <w:numPr>
          <w:ilvl w:val="0"/>
          <w:numId w:val="14"/>
        </w:numPr>
        <w:ind w:left="720" w:hanging="360"/>
        <w:textAlignment w:val="center"/>
      </w:pPr>
      <w:r w:rsidRPr="00C8730B">
        <w:t>Army IMCOM G9</w:t>
      </w:r>
    </w:p>
    <w:p w14:paraId="3BC9A547" w14:textId="2EABD00B" w:rsidR="006C4A49" w:rsidRPr="00C8730B" w:rsidRDefault="006C4A49" w:rsidP="006C4A49">
      <w:pPr>
        <w:numPr>
          <w:ilvl w:val="1"/>
          <w:numId w:val="14"/>
        </w:numPr>
        <w:textAlignment w:val="center"/>
      </w:pPr>
      <w:r w:rsidRPr="00C8730B">
        <w:t>Sonia Daugherty</w:t>
      </w:r>
      <w:r w:rsidR="003445A0" w:rsidRPr="00C8730B">
        <w:t>, Eric Alberts</w:t>
      </w:r>
    </w:p>
    <w:p w14:paraId="41D66A36" w14:textId="77777777" w:rsidR="006C4A49" w:rsidRPr="00C8730B" w:rsidRDefault="006C4A49" w:rsidP="006C4A49">
      <w:pPr>
        <w:numPr>
          <w:ilvl w:val="0"/>
          <w:numId w:val="14"/>
        </w:numPr>
        <w:ind w:left="720" w:hanging="360"/>
        <w:textAlignment w:val="center"/>
      </w:pPr>
      <w:r w:rsidRPr="00C8730B">
        <w:t>Air Force A-1</w:t>
      </w:r>
    </w:p>
    <w:p w14:paraId="59B57627" w14:textId="77777777" w:rsidR="006C4A49" w:rsidRPr="00C8730B" w:rsidRDefault="006C4A49" w:rsidP="006C4A49">
      <w:pPr>
        <w:numPr>
          <w:ilvl w:val="1"/>
          <w:numId w:val="14"/>
        </w:numPr>
        <w:textAlignment w:val="center"/>
      </w:pPr>
      <w:r w:rsidRPr="00C8730B">
        <w:t>Lisa Hughes</w:t>
      </w:r>
    </w:p>
    <w:p w14:paraId="21829C86" w14:textId="77777777" w:rsidR="006C4A49" w:rsidRPr="00C8730B" w:rsidRDefault="006C4A49" w:rsidP="006C4A49">
      <w:pPr>
        <w:numPr>
          <w:ilvl w:val="0"/>
          <w:numId w:val="14"/>
        </w:numPr>
        <w:ind w:left="720" w:hanging="360"/>
        <w:textAlignment w:val="center"/>
      </w:pPr>
      <w:r w:rsidRPr="00C8730B">
        <w:t>AFSVA</w:t>
      </w:r>
    </w:p>
    <w:p w14:paraId="2ABB78CD" w14:textId="20F51AD0" w:rsidR="006C4A49" w:rsidRPr="00C8730B" w:rsidRDefault="003445A0" w:rsidP="006C4A49">
      <w:pPr>
        <w:numPr>
          <w:ilvl w:val="1"/>
          <w:numId w:val="14"/>
        </w:numPr>
        <w:textAlignment w:val="center"/>
      </w:pPr>
      <w:r w:rsidRPr="00C8730B">
        <w:t>Connie Lipko, Marcus Whitehead,</w:t>
      </w:r>
      <w:r w:rsidR="006C4A49" w:rsidRPr="00C8730B">
        <w:t xml:space="preserve"> Marivic Penman, Tom Marsh, Stephen </w:t>
      </w:r>
      <w:proofErr w:type="spellStart"/>
      <w:r w:rsidR="006C4A49" w:rsidRPr="00C8730B">
        <w:t>Olencamp</w:t>
      </w:r>
      <w:proofErr w:type="spellEnd"/>
    </w:p>
    <w:p w14:paraId="75162C2F" w14:textId="77777777" w:rsidR="006C4A49" w:rsidRPr="00C8730B" w:rsidRDefault="006C4A49" w:rsidP="006C4A49">
      <w:pPr>
        <w:numPr>
          <w:ilvl w:val="0"/>
          <w:numId w:val="14"/>
        </w:numPr>
        <w:ind w:left="720" w:hanging="360"/>
        <w:textAlignment w:val="center"/>
      </w:pPr>
      <w:r w:rsidRPr="00C8730B">
        <w:t xml:space="preserve">MCCS </w:t>
      </w:r>
    </w:p>
    <w:p w14:paraId="6EA9ED80" w14:textId="77777777" w:rsidR="006C4A49" w:rsidRPr="00C8730B" w:rsidRDefault="006C4A49" w:rsidP="006C4A49">
      <w:pPr>
        <w:numPr>
          <w:ilvl w:val="1"/>
          <w:numId w:val="14"/>
        </w:numPr>
        <w:textAlignment w:val="center"/>
      </w:pPr>
      <w:r w:rsidRPr="00C8730B">
        <w:t>John Johnston, Pat Craddock, Courtney Pulis</w:t>
      </w:r>
    </w:p>
    <w:p w14:paraId="08092D08" w14:textId="77777777" w:rsidR="006C4A49" w:rsidRPr="00C8730B" w:rsidRDefault="006C4A49" w:rsidP="006C4A49">
      <w:pPr>
        <w:numPr>
          <w:ilvl w:val="0"/>
          <w:numId w:val="14"/>
        </w:numPr>
        <w:ind w:left="720" w:hanging="360"/>
        <w:textAlignment w:val="center"/>
      </w:pPr>
      <w:r w:rsidRPr="00C8730B">
        <w:t xml:space="preserve">Army – DFAS – Texarkana </w:t>
      </w:r>
    </w:p>
    <w:p w14:paraId="6311442D" w14:textId="7C0116E8" w:rsidR="006C4A49" w:rsidRPr="00C8730B" w:rsidRDefault="006C4A49" w:rsidP="006C4A49">
      <w:pPr>
        <w:numPr>
          <w:ilvl w:val="1"/>
          <w:numId w:val="14"/>
        </w:numPr>
        <w:textAlignment w:val="center"/>
      </w:pPr>
      <w:r w:rsidRPr="00C8730B">
        <w:t>Lena Ande</w:t>
      </w:r>
      <w:r w:rsidR="003445A0" w:rsidRPr="00C8730B">
        <w:t xml:space="preserve">rson, </w:t>
      </w:r>
      <w:r w:rsidR="00FF3E24">
        <w:t xml:space="preserve">Randy Rodgers </w:t>
      </w:r>
    </w:p>
    <w:p w14:paraId="28715C00" w14:textId="77777777" w:rsidR="006C4A49" w:rsidRPr="00C8730B" w:rsidRDefault="006C4A49" w:rsidP="006C4A49">
      <w:pPr>
        <w:numPr>
          <w:ilvl w:val="0"/>
          <w:numId w:val="14"/>
        </w:numPr>
        <w:ind w:left="720" w:hanging="360"/>
        <w:textAlignment w:val="center"/>
      </w:pPr>
      <w:r w:rsidRPr="00C8730B">
        <w:t xml:space="preserve">Navy CNIC    </w:t>
      </w:r>
    </w:p>
    <w:p w14:paraId="1FE323D3" w14:textId="77777777" w:rsidR="006C4A49" w:rsidRPr="00C8730B" w:rsidRDefault="006C4A49" w:rsidP="006C4A49">
      <w:pPr>
        <w:numPr>
          <w:ilvl w:val="1"/>
          <w:numId w:val="14"/>
        </w:numPr>
        <w:textAlignment w:val="center"/>
      </w:pPr>
      <w:r w:rsidRPr="00C8730B">
        <w:t>Nancy Stephens, Jennifer Wilkinson</w:t>
      </w:r>
    </w:p>
    <w:p w14:paraId="67E2157D" w14:textId="77777777" w:rsidR="006C4A49" w:rsidRPr="00C8730B" w:rsidRDefault="006C4A49" w:rsidP="006C4A49">
      <w:pPr>
        <w:pStyle w:val="ListParagraph"/>
        <w:numPr>
          <w:ilvl w:val="0"/>
          <w:numId w:val="14"/>
        </w:numPr>
        <w:textAlignment w:val="center"/>
      </w:pPr>
      <w:r w:rsidRPr="00C8730B">
        <w:t xml:space="preserve">Navy OPNAV N462B </w:t>
      </w:r>
    </w:p>
    <w:p w14:paraId="675F5352" w14:textId="77777777" w:rsidR="006C4A49" w:rsidRPr="00C8730B" w:rsidRDefault="006C4A49" w:rsidP="006C4A49">
      <w:pPr>
        <w:pStyle w:val="ListParagraph"/>
        <w:numPr>
          <w:ilvl w:val="1"/>
          <w:numId w:val="14"/>
        </w:numPr>
        <w:textAlignment w:val="center"/>
      </w:pPr>
      <w:r w:rsidRPr="00C8730B">
        <w:t xml:space="preserve">Annie Fowler  </w:t>
      </w:r>
    </w:p>
    <w:p w14:paraId="4F0C54BE" w14:textId="77777777" w:rsidR="006C4A49" w:rsidRPr="00C8730B" w:rsidRDefault="006C4A49" w:rsidP="006C4A49">
      <w:pPr>
        <w:pStyle w:val="ListParagraph"/>
        <w:numPr>
          <w:ilvl w:val="0"/>
          <w:numId w:val="14"/>
        </w:numPr>
        <w:textAlignment w:val="center"/>
      </w:pPr>
      <w:r w:rsidRPr="00C8730B">
        <w:t>Air Force Secretariat SAF-MRR</w:t>
      </w:r>
    </w:p>
    <w:p w14:paraId="271BE2B4" w14:textId="77777777" w:rsidR="006C4A49" w:rsidRPr="00C8730B" w:rsidRDefault="006C4A49" w:rsidP="006C4A49">
      <w:pPr>
        <w:pStyle w:val="ListParagraph"/>
        <w:numPr>
          <w:ilvl w:val="1"/>
          <w:numId w:val="14"/>
        </w:numPr>
        <w:textAlignment w:val="center"/>
      </w:pPr>
      <w:r w:rsidRPr="00C8730B">
        <w:t xml:space="preserve">Lt. Col. Carina Harrison </w:t>
      </w:r>
    </w:p>
    <w:p w14:paraId="73D4D985" w14:textId="77777777" w:rsidR="006C4A49" w:rsidRPr="00C8730B" w:rsidRDefault="006C4A49" w:rsidP="006C4A49">
      <w:pPr>
        <w:numPr>
          <w:ilvl w:val="0"/>
          <w:numId w:val="14"/>
        </w:numPr>
        <w:ind w:left="720" w:hanging="360"/>
        <w:textAlignment w:val="center"/>
      </w:pPr>
      <w:r w:rsidRPr="00C8730B">
        <w:t>Grant Thornton (GT)</w:t>
      </w:r>
    </w:p>
    <w:p w14:paraId="47A9C41E" w14:textId="77777777" w:rsidR="006C4A49" w:rsidRPr="00C8730B" w:rsidRDefault="006C4A49" w:rsidP="006C4A49">
      <w:pPr>
        <w:numPr>
          <w:ilvl w:val="1"/>
          <w:numId w:val="14"/>
        </w:numPr>
        <w:textAlignment w:val="center"/>
      </w:pPr>
      <w:r w:rsidRPr="00C8730B">
        <w:t xml:space="preserve">Jeremy Blain, Ariane Whittemore, Mary Saldivar, Sumner Higginbotham, Vishal Ayyagari </w:t>
      </w:r>
    </w:p>
    <w:p w14:paraId="1F8150A5" w14:textId="77777777" w:rsidR="006C4A49" w:rsidRPr="00C8730B" w:rsidRDefault="006C4A49" w:rsidP="007D7EB2">
      <w:pPr>
        <w:rPr>
          <w:b/>
          <w:color w:val="FF0000"/>
          <w:u w:val="single"/>
        </w:rPr>
      </w:pPr>
    </w:p>
    <w:p w14:paraId="34A31BC5" w14:textId="1A9D4CE1" w:rsidR="007D7EB2" w:rsidRPr="00C8730B" w:rsidRDefault="007D7EB2" w:rsidP="00A74D9A">
      <w:pPr>
        <w:rPr>
          <w:b/>
          <w:u w:val="single"/>
        </w:rPr>
      </w:pPr>
      <w:r w:rsidRPr="00C8730B">
        <w:rPr>
          <w:b/>
          <w:u w:val="single"/>
        </w:rPr>
        <w:t>Welcome and Introductions – Ms. Paulette Freese, MWR &amp; Resale Policy</w:t>
      </w:r>
    </w:p>
    <w:p w14:paraId="44912163" w14:textId="20ADA408" w:rsidR="002068BC" w:rsidRPr="00C8730B" w:rsidRDefault="00A74D9A" w:rsidP="002068BC">
      <w:pPr>
        <w:pStyle w:val="ListParagraph"/>
        <w:numPr>
          <w:ilvl w:val="0"/>
          <w:numId w:val="16"/>
        </w:numPr>
        <w:rPr>
          <w:b/>
          <w:u w:val="single"/>
        </w:rPr>
      </w:pPr>
      <w:r w:rsidRPr="00C8730B">
        <w:t xml:space="preserve">Ms. Freese welcomed everyone, acknowledged that all the </w:t>
      </w:r>
      <w:r w:rsidR="00752F8B" w:rsidRPr="00C8730B">
        <w:t>S</w:t>
      </w:r>
      <w:r w:rsidRPr="00C8730B">
        <w:t xml:space="preserve">ervices were present and thanked everyone for participating. </w:t>
      </w:r>
    </w:p>
    <w:p w14:paraId="706D2B8E" w14:textId="77777777" w:rsidR="007D7EB2" w:rsidRPr="00C8730B" w:rsidRDefault="007D7EB2" w:rsidP="007D7EB2">
      <w:pPr>
        <w:rPr>
          <w:b/>
          <w:bCs/>
        </w:rPr>
      </w:pPr>
    </w:p>
    <w:p w14:paraId="7FF50CAE" w14:textId="74E25D35" w:rsidR="007D7EB2" w:rsidRPr="00C8730B" w:rsidRDefault="007D7EB2" w:rsidP="002068BC">
      <w:pPr>
        <w:rPr>
          <w:b/>
          <w:u w:val="single"/>
        </w:rPr>
      </w:pPr>
      <w:r w:rsidRPr="00C8730B">
        <w:rPr>
          <w:b/>
          <w:u w:val="single"/>
        </w:rPr>
        <w:t xml:space="preserve">OSD Update – </w:t>
      </w:r>
      <w:r w:rsidR="002068BC" w:rsidRPr="00C8730B">
        <w:rPr>
          <w:b/>
          <w:u w:val="single"/>
        </w:rPr>
        <w:t>Ms. Paulette Freese</w:t>
      </w:r>
      <w:r w:rsidRPr="00C8730B">
        <w:rPr>
          <w:b/>
          <w:u w:val="single"/>
        </w:rPr>
        <w:t>, MWR &amp; Resale Policy</w:t>
      </w:r>
    </w:p>
    <w:p w14:paraId="2B1EC04D" w14:textId="176FB73E" w:rsidR="002068BC" w:rsidRPr="00C8730B" w:rsidRDefault="00B44F95" w:rsidP="00B44F95">
      <w:pPr>
        <w:pStyle w:val="ListParagraph"/>
        <w:numPr>
          <w:ilvl w:val="0"/>
          <w:numId w:val="16"/>
        </w:numPr>
      </w:pPr>
      <w:r w:rsidRPr="00C8730B">
        <w:t xml:space="preserve">Ms. Freese started out the discussion by noting the </w:t>
      </w:r>
      <w:r w:rsidR="00442F06">
        <w:t>Defense Resale financial workshop planned for 11-13 September was postponed</w:t>
      </w:r>
      <w:r w:rsidRPr="00C8730B">
        <w:t xml:space="preserve"> due to Hurricane Florence. </w:t>
      </w:r>
    </w:p>
    <w:p w14:paraId="2E826010" w14:textId="61470FA6" w:rsidR="00B44F95" w:rsidRPr="00C8730B" w:rsidRDefault="00C32142" w:rsidP="00B44F95">
      <w:pPr>
        <w:pStyle w:val="ListParagraph"/>
        <w:numPr>
          <w:ilvl w:val="1"/>
          <w:numId w:val="16"/>
        </w:numPr>
      </w:pPr>
      <w:r>
        <w:t>The workshop was rescheduled for 25-27 September</w:t>
      </w:r>
      <w:r w:rsidR="00B44F95" w:rsidRPr="00C8730B">
        <w:t xml:space="preserve">. </w:t>
      </w:r>
    </w:p>
    <w:p w14:paraId="76F47BEC" w14:textId="3CBCBED7" w:rsidR="007D7EB2" w:rsidRPr="00C8730B" w:rsidRDefault="001335D8" w:rsidP="007D7EB2">
      <w:pPr>
        <w:numPr>
          <w:ilvl w:val="0"/>
          <w:numId w:val="1"/>
        </w:numPr>
        <w:ind w:left="708" w:hanging="348"/>
      </w:pPr>
      <w:r w:rsidRPr="00C8730B">
        <w:t xml:space="preserve">Ms. Freese informed the Working Group that the next meeting </w:t>
      </w:r>
      <w:proofErr w:type="gramStart"/>
      <w:r w:rsidRPr="00C8730B">
        <w:t>will</w:t>
      </w:r>
      <w:proofErr w:type="gramEnd"/>
      <w:r w:rsidRPr="00C8730B">
        <w:t xml:space="preserve"> not take place on October 18</w:t>
      </w:r>
      <w:r w:rsidRPr="00C8730B">
        <w:rPr>
          <w:vertAlign w:val="superscript"/>
        </w:rPr>
        <w:t>th</w:t>
      </w:r>
      <w:r w:rsidRPr="00C8730B">
        <w:t>, 2018.  Instead, for the October Meeting, the Working Group will be held on October 25</w:t>
      </w:r>
      <w:r w:rsidRPr="00C8730B">
        <w:rPr>
          <w:vertAlign w:val="superscript"/>
        </w:rPr>
        <w:t>th,</w:t>
      </w:r>
      <w:r w:rsidRPr="00C8730B">
        <w:t xml:space="preserve"> 2018. </w:t>
      </w:r>
    </w:p>
    <w:p w14:paraId="2FF20656" w14:textId="2BB00B3D" w:rsidR="00C80C62" w:rsidRPr="00C8730B" w:rsidRDefault="00C80C62" w:rsidP="007D7EB2">
      <w:pPr>
        <w:numPr>
          <w:ilvl w:val="0"/>
          <w:numId w:val="1"/>
        </w:numPr>
        <w:ind w:left="708" w:hanging="348"/>
      </w:pPr>
      <w:r w:rsidRPr="00C8730B">
        <w:t xml:space="preserve">Ms. </w:t>
      </w:r>
      <w:r w:rsidR="00FF3E24">
        <w:t>W</w:t>
      </w:r>
      <w:r w:rsidRPr="00C8730B">
        <w:t>hittemore</w:t>
      </w:r>
      <w:r w:rsidR="00FE04AB" w:rsidRPr="00C8730B">
        <w:t xml:space="preserve"> </w:t>
      </w:r>
      <w:r w:rsidRPr="00C8730B">
        <w:t>mentioned an update she had on behalf of Mr. Curtis</w:t>
      </w:r>
      <w:r w:rsidR="00C32142">
        <w:t>.</w:t>
      </w:r>
    </w:p>
    <w:p w14:paraId="7364E1B3" w14:textId="746BB74B" w:rsidR="00C80C62" w:rsidRPr="00C8730B" w:rsidRDefault="00C80C62" w:rsidP="00427F8F">
      <w:pPr>
        <w:numPr>
          <w:ilvl w:val="1"/>
          <w:numId w:val="1"/>
        </w:numPr>
      </w:pPr>
      <w:r w:rsidRPr="00C8730B">
        <w:t>The D</w:t>
      </w:r>
      <w:r w:rsidR="00C32142">
        <w:t>epartment of Defense is implementing</w:t>
      </w:r>
      <w:r w:rsidRPr="00C8730B">
        <w:t xml:space="preserve"> a new </w:t>
      </w:r>
      <w:r w:rsidR="00C32142">
        <w:t xml:space="preserve">Joint </w:t>
      </w:r>
      <w:r w:rsidR="00FF3E24">
        <w:t xml:space="preserve">service </w:t>
      </w:r>
      <w:r w:rsidR="00C32142">
        <w:t>Leisure Travel P</w:t>
      </w:r>
      <w:r w:rsidRPr="00C8730B">
        <w:t>rogram</w:t>
      </w:r>
      <w:r w:rsidR="00C32142">
        <w:t xml:space="preserve"> in October 2018 with the Navy (CNIC) as Executive Agent</w:t>
      </w:r>
      <w:r w:rsidRPr="00C8730B">
        <w:t xml:space="preserve">. </w:t>
      </w:r>
      <w:r w:rsidR="00C32142">
        <w:t xml:space="preserve"> Ms. Whittemore advised the Services that Mr. Curtis, with the assistance of Grant Thornton, was evaluating the best accounting treatment for the Joint Leisure </w:t>
      </w:r>
      <w:r w:rsidR="00C32142">
        <w:lastRenderedPageBreak/>
        <w:t xml:space="preserve">Travel program.  </w:t>
      </w:r>
      <w:r w:rsidRPr="00C8730B">
        <w:t xml:space="preserve">Mr. Curtis would send out more information regarding the topic in the following weeks. </w:t>
      </w:r>
    </w:p>
    <w:p w14:paraId="089512A7" w14:textId="77777777" w:rsidR="00ED1300" w:rsidRPr="00C8730B" w:rsidRDefault="00ED1300" w:rsidP="00B233DE">
      <w:pPr>
        <w:ind w:left="1440"/>
      </w:pPr>
    </w:p>
    <w:p w14:paraId="4DB424C4" w14:textId="2860B27C" w:rsidR="00ED1300" w:rsidRPr="00C8730B" w:rsidRDefault="007D7EB2" w:rsidP="00ED1300">
      <w:pPr>
        <w:rPr>
          <w:b/>
          <w:u w:val="single"/>
        </w:rPr>
      </w:pPr>
      <w:r w:rsidRPr="00C8730B">
        <w:rPr>
          <w:b/>
          <w:u w:val="single"/>
        </w:rPr>
        <w:t>Working Group Discussion on NAFSGL 3.0 Areas of Concern</w:t>
      </w:r>
      <w:r w:rsidR="00002FE0" w:rsidRPr="00C8730B">
        <w:rPr>
          <w:b/>
          <w:u w:val="single"/>
        </w:rPr>
        <w:t xml:space="preserve"> – </w:t>
      </w:r>
      <w:r w:rsidRPr="00C8730B">
        <w:rPr>
          <w:b/>
          <w:u w:val="single"/>
        </w:rPr>
        <w:t>Mr. Jeremy Blain, Grant Thornton</w:t>
      </w:r>
    </w:p>
    <w:p w14:paraId="5DB7CEFD" w14:textId="7E972E4A" w:rsidR="0030657B" w:rsidRPr="00FF3E24" w:rsidRDefault="00ED1300" w:rsidP="00FF3E24">
      <w:pPr>
        <w:pStyle w:val="ListParagraph"/>
        <w:numPr>
          <w:ilvl w:val="0"/>
          <w:numId w:val="17"/>
        </w:numPr>
        <w:rPr>
          <w:b/>
          <w:u w:val="single"/>
        </w:rPr>
      </w:pPr>
      <w:r w:rsidRPr="00C8730B">
        <w:t>Mr. Blain started out the discussion of th</w:t>
      </w:r>
      <w:r w:rsidR="0056777A">
        <w:t>e NAFSGL by explaining that OSD and Grant Thornton</w:t>
      </w:r>
      <w:r w:rsidRPr="00C8730B">
        <w:t xml:space="preserve"> would like input from each of the </w:t>
      </w:r>
      <w:r w:rsidR="00752F8B" w:rsidRPr="00C8730B">
        <w:t>S</w:t>
      </w:r>
      <w:r w:rsidR="00191EC9">
        <w:t>ervices on</w:t>
      </w:r>
      <w:r w:rsidR="0056777A">
        <w:t xml:space="preserve"> several areas of</w:t>
      </w:r>
      <w:r w:rsidRPr="00C8730B">
        <w:t xml:space="preserve"> the </w:t>
      </w:r>
      <w:r w:rsidR="0056777A">
        <w:t xml:space="preserve">proposed </w:t>
      </w:r>
      <w:r w:rsidRPr="00C8730B">
        <w:t>NAFSGL</w:t>
      </w:r>
      <w:r w:rsidR="0056777A">
        <w:t xml:space="preserve"> 3.0</w:t>
      </w:r>
      <w:r w:rsidRPr="00C8730B">
        <w:t>.</w:t>
      </w:r>
      <w:r w:rsidR="00FF3E24">
        <w:t xml:space="preserve">  </w:t>
      </w:r>
      <w:r w:rsidRPr="00C8730B">
        <w:t xml:space="preserve">Mr. Blain noted that the goal of this review was to find </w:t>
      </w:r>
      <w:r w:rsidR="00191EC9">
        <w:t xml:space="preserve">a </w:t>
      </w:r>
      <w:proofErr w:type="gramStart"/>
      <w:r w:rsidR="00191EC9">
        <w:t>general consensus</w:t>
      </w:r>
      <w:proofErr w:type="gramEnd"/>
      <w:r w:rsidR="00191EC9">
        <w:t xml:space="preserve"> on the issues from</w:t>
      </w:r>
      <w:r w:rsidRPr="00C8730B">
        <w:t xml:space="preserve"> the </w:t>
      </w:r>
      <w:r w:rsidR="00752F8B" w:rsidRPr="00C8730B">
        <w:t>S</w:t>
      </w:r>
      <w:r w:rsidR="00191EC9">
        <w:t>ervices</w:t>
      </w:r>
      <w:r w:rsidRPr="00C8730B">
        <w:t xml:space="preserve">. </w:t>
      </w:r>
      <w:r w:rsidR="00BF0D42" w:rsidRPr="00C8730B">
        <w:t xml:space="preserve">The topic </w:t>
      </w:r>
      <w:proofErr w:type="gramStart"/>
      <w:r w:rsidR="00BF0D42" w:rsidRPr="00C8730B">
        <w:t>was</w:t>
      </w:r>
      <w:r w:rsidR="0030657B" w:rsidRPr="00C8730B">
        <w:t xml:space="preserve"> discussed</w:t>
      </w:r>
      <w:proofErr w:type="gramEnd"/>
      <w:r w:rsidR="0030657B" w:rsidRPr="00C8730B">
        <w:t xml:space="preserve"> in the last working group meeting in which the </w:t>
      </w:r>
      <w:r w:rsidR="00752F8B" w:rsidRPr="00C8730B">
        <w:t>S</w:t>
      </w:r>
      <w:r w:rsidR="0030657B" w:rsidRPr="00C8730B">
        <w:t xml:space="preserve">ervices were asked to review and bring appropriate feedback to this meeting. </w:t>
      </w:r>
    </w:p>
    <w:p w14:paraId="2995893C" w14:textId="1285713D" w:rsidR="0030657B" w:rsidRPr="00C8730B" w:rsidRDefault="0030657B" w:rsidP="0030657B">
      <w:pPr>
        <w:numPr>
          <w:ilvl w:val="0"/>
          <w:numId w:val="1"/>
        </w:numPr>
      </w:pPr>
      <w:r w:rsidRPr="00C8730B">
        <w:t>Mr. Blain began with the topic of Donations of I</w:t>
      </w:r>
      <w:r w:rsidR="00471AAC">
        <w:t>n-kind A</w:t>
      </w:r>
      <w:r w:rsidR="00B233DE" w:rsidRPr="00C8730B">
        <w:t xml:space="preserve">ssets by asking each of the </w:t>
      </w:r>
      <w:r w:rsidR="00752F8B" w:rsidRPr="00C8730B">
        <w:t>S</w:t>
      </w:r>
      <w:r w:rsidR="00B233DE" w:rsidRPr="00C8730B">
        <w:t>ervices</w:t>
      </w:r>
      <w:r w:rsidRPr="00C8730B">
        <w:t xml:space="preserve"> for</w:t>
      </w:r>
      <w:r w:rsidR="00191EC9">
        <w:t xml:space="preserve"> their feedback.  At the August NAF Accounting Working G</w:t>
      </w:r>
      <w:r w:rsidR="00B233DE" w:rsidRPr="00C8730B">
        <w:t xml:space="preserve">roup meeting, the </w:t>
      </w:r>
      <w:r w:rsidR="00E62335" w:rsidRPr="00C8730B">
        <w:t>S</w:t>
      </w:r>
      <w:r w:rsidR="00B233DE" w:rsidRPr="00C8730B">
        <w:t>ervices</w:t>
      </w:r>
      <w:r w:rsidRPr="00C8730B">
        <w:t xml:space="preserve"> stated they would review the </w:t>
      </w:r>
      <w:r w:rsidR="00191EC9">
        <w:t xml:space="preserve">existing Air Force </w:t>
      </w:r>
      <w:r w:rsidRPr="00C8730B">
        <w:t>po</w:t>
      </w:r>
      <w:r w:rsidR="00191EC9">
        <w:t xml:space="preserve">licy </w:t>
      </w:r>
      <w:r w:rsidRPr="00C8730B">
        <w:t xml:space="preserve">and would </w:t>
      </w:r>
      <w:r w:rsidR="00191EC9">
        <w:t>be prepared to provide their Services perspective on this policy.</w:t>
      </w:r>
    </w:p>
    <w:p w14:paraId="3573418B" w14:textId="4E72D28E" w:rsidR="0030657B" w:rsidRPr="00C8730B" w:rsidRDefault="0030657B" w:rsidP="0030657B">
      <w:pPr>
        <w:numPr>
          <w:ilvl w:val="1"/>
          <w:numId w:val="1"/>
        </w:numPr>
      </w:pPr>
      <w:r w:rsidRPr="00C8730B">
        <w:t xml:space="preserve">Ms. Daugherty stated that the Air Force policy is acceptable </w:t>
      </w:r>
      <w:r w:rsidR="006D5D5A" w:rsidRPr="00C8730B">
        <w:t xml:space="preserve">but recommends </w:t>
      </w:r>
      <w:r w:rsidRPr="00C8730B">
        <w:t xml:space="preserve">a few minor changes. </w:t>
      </w:r>
    </w:p>
    <w:p w14:paraId="29D88170" w14:textId="31F39F47" w:rsidR="00B233DE" w:rsidRPr="00C8730B" w:rsidRDefault="006057E9" w:rsidP="00B233DE">
      <w:pPr>
        <w:numPr>
          <w:ilvl w:val="2"/>
          <w:numId w:val="1"/>
        </w:numPr>
      </w:pPr>
      <w:r w:rsidRPr="00C8730B">
        <w:t xml:space="preserve">Ms. Daugherty </w:t>
      </w:r>
      <w:r w:rsidR="002C2FD3">
        <w:t>explained that</w:t>
      </w:r>
      <w:r w:rsidR="00E8284F" w:rsidRPr="00C8730B">
        <w:t xml:space="preserve"> gifts or d</w:t>
      </w:r>
      <w:r w:rsidRPr="00C8730B">
        <w:t xml:space="preserve">onations will need to state whether it was agreed upon </w:t>
      </w:r>
      <w:r w:rsidR="00B233DE" w:rsidRPr="00C8730B">
        <w:t xml:space="preserve">with the </w:t>
      </w:r>
      <w:r w:rsidRPr="00C8730B">
        <w:t>donor</w:t>
      </w:r>
      <w:r w:rsidR="00B233DE" w:rsidRPr="00C8730B">
        <w:t xml:space="preserve"> and the </w:t>
      </w:r>
      <w:r w:rsidR="00487A12" w:rsidRPr="00C8730B">
        <w:t>estimated value</w:t>
      </w:r>
      <w:r w:rsidRPr="00C8730B">
        <w:t>.</w:t>
      </w:r>
      <w:r w:rsidR="00B233DE" w:rsidRPr="00C8730B">
        <w:t xml:space="preserve"> Legal will then approve this valuation. </w:t>
      </w:r>
    </w:p>
    <w:p w14:paraId="0B535698" w14:textId="77777777" w:rsidR="00471AAC" w:rsidRDefault="00B233DE" w:rsidP="00B233DE">
      <w:pPr>
        <w:numPr>
          <w:ilvl w:val="2"/>
          <w:numId w:val="1"/>
        </w:numPr>
      </w:pPr>
      <w:r w:rsidRPr="00C8730B">
        <w:t xml:space="preserve">Ms. Daugherty also stated that the Army is unsure of the effects </w:t>
      </w:r>
      <w:r w:rsidR="00471AAC">
        <w:t>of the policy on the Income S</w:t>
      </w:r>
      <w:r w:rsidRPr="00C8730B">
        <w:t xml:space="preserve">tatement. The Army would review the issue </w:t>
      </w:r>
      <w:r w:rsidR="00471AAC">
        <w:t>with the Air Force including</w:t>
      </w:r>
      <w:r w:rsidRPr="00C8730B">
        <w:t xml:space="preserve"> depreciation</w:t>
      </w:r>
      <w:r w:rsidR="001B13B5" w:rsidRPr="00C8730B">
        <w:t xml:space="preserve"> of donated assets</w:t>
      </w:r>
      <w:r w:rsidR="00471AAC">
        <w:t>.</w:t>
      </w:r>
    </w:p>
    <w:p w14:paraId="50BB9094" w14:textId="08D7DACD" w:rsidR="00B233DE" w:rsidRPr="00C8730B" w:rsidRDefault="00471AAC" w:rsidP="00B233DE">
      <w:pPr>
        <w:numPr>
          <w:ilvl w:val="2"/>
          <w:numId w:val="1"/>
        </w:numPr>
      </w:pPr>
      <w:r>
        <w:t>The Army concurs with the Air Force policy on Donation of In Kind Assets.</w:t>
      </w:r>
      <w:r w:rsidR="00B233DE" w:rsidRPr="00C8730B">
        <w:t xml:space="preserve"> </w:t>
      </w:r>
    </w:p>
    <w:p w14:paraId="7043EB52" w14:textId="1FBB1711" w:rsidR="0030657B" w:rsidRPr="00C8730B" w:rsidRDefault="00B233DE" w:rsidP="00B233DE">
      <w:pPr>
        <w:numPr>
          <w:ilvl w:val="1"/>
          <w:numId w:val="1"/>
        </w:numPr>
      </w:pPr>
      <w:r w:rsidRPr="00C8730B">
        <w:t>Ms.</w:t>
      </w:r>
      <w:r w:rsidR="00FF3E24">
        <w:t xml:space="preserve"> Stephens </w:t>
      </w:r>
      <w:r w:rsidR="00471AAC">
        <w:t>added</w:t>
      </w:r>
      <w:r w:rsidRPr="00C8730B">
        <w:t xml:space="preserve"> to the discussion by stating depreciation</w:t>
      </w:r>
      <w:r w:rsidR="001B13B5" w:rsidRPr="00C8730B">
        <w:t xml:space="preserve"> associated with donations</w:t>
      </w:r>
      <w:r w:rsidRPr="00C8730B">
        <w:t xml:space="preserve"> is usually </w:t>
      </w:r>
      <w:r w:rsidR="00A7026F" w:rsidRPr="00C8730B">
        <w:t>immaterial. Ms. Stephens does not recall any significant cash</w:t>
      </w:r>
      <w:r w:rsidR="001B13B5" w:rsidRPr="00C8730B">
        <w:t xml:space="preserve"> or asset</w:t>
      </w:r>
      <w:r w:rsidR="00A7026F" w:rsidRPr="00C8730B">
        <w:t xml:space="preserve"> donations other than the </w:t>
      </w:r>
      <w:r w:rsidR="00E62335" w:rsidRPr="00C8730B">
        <w:t>F</w:t>
      </w:r>
      <w:r w:rsidR="00A7026F" w:rsidRPr="00C8730B">
        <w:t xml:space="preserve">isher </w:t>
      </w:r>
      <w:r w:rsidR="00E62335" w:rsidRPr="00C8730B">
        <w:t>H</w:t>
      </w:r>
      <w:r w:rsidR="00A7026F" w:rsidRPr="00C8730B">
        <w:t xml:space="preserve">ouse. </w:t>
      </w:r>
    </w:p>
    <w:p w14:paraId="6342AA69" w14:textId="329BFEC2" w:rsidR="00A7026F" w:rsidRPr="00C8730B" w:rsidRDefault="00A7026F" w:rsidP="00A7026F">
      <w:pPr>
        <w:numPr>
          <w:ilvl w:val="2"/>
          <w:numId w:val="1"/>
        </w:numPr>
      </w:pPr>
      <w:r w:rsidRPr="00C8730B">
        <w:t>Ms. Stephens would like to check this policy but believes that donations and co</w:t>
      </w:r>
      <w:r w:rsidR="00471AAC">
        <w:t>ntributions would be characterized as non-operating revenue.</w:t>
      </w:r>
      <w:r w:rsidRPr="00C8730B">
        <w:t xml:space="preserve"> </w:t>
      </w:r>
    </w:p>
    <w:p w14:paraId="5267BE41" w14:textId="2BF17D03" w:rsidR="00A7026F" w:rsidRPr="00C8730B" w:rsidRDefault="00FF3E24" w:rsidP="0058510F">
      <w:pPr>
        <w:numPr>
          <w:ilvl w:val="2"/>
          <w:numId w:val="1"/>
        </w:numPr>
      </w:pPr>
      <w:r>
        <w:t>Ms.</w:t>
      </w:r>
      <w:r w:rsidR="00A7026F" w:rsidRPr="00C8730B">
        <w:t xml:space="preserve"> </w:t>
      </w:r>
      <w:r w:rsidR="00471AAC">
        <w:t>Fowler indicated that</w:t>
      </w:r>
      <w:r w:rsidR="00A7026F" w:rsidRPr="00C8730B">
        <w:t xml:space="preserve"> </w:t>
      </w:r>
      <w:r w:rsidR="00E62335" w:rsidRPr="00C8730B">
        <w:t>F</w:t>
      </w:r>
      <w:r w:rsidR="00A7026F" w:rsidRPr="00C8730B">
        <w:t xml:space="preserve">isher </w:t>
      </w:r>
      <w:r w:rsidR="00E62335" w:rsidRPr="00C8730B">
        <w:t>H</w:t>
      </w:r>
      <w:r w:rsidR="00A7026F" w:rsidRPr="00C8730B">
        <w:t>ouse receives various donations including</w:t>
      </w:r>
      <w:r w:rsidR="00487A12" w:rsidRPr="00C8730B">
        <w:t xml:space="preserve"> food,</w:t>
      </w:r>
      <w:r w:rsidR="00A7026F" w:rsidRPr="00C8730B">
        <w:t xml:space="preserve"> furnishings</w:t>
      </w:r>
      <w:r w:rsidR="00487A12" w:rsidRPr="00C8730B">
        <w:t xml:space="preserve">, </w:t>
      </w:r>
      <w:r w:rsidR="00471AAC">
        <w:t>and</w:t>
      </w:r>
      <w:r w:rsidR="00487A12" w:rsidRPr="00C8730B">
        <w:t xml:space="preserve"> </w:t>
      </w:r>
      <w:r w:rsidR="00A7026F" w:rsidRPr="00C8730B">
        <w:t>houses. Ms. F</w:t>
      </w:r>
      <w:r w:rsidR="00471AAC">
        <w:t xml:space="preserve">owler noted </w:t>
      </w:r>
      <w:proofErr w:type="gramStart"/>
      <w:r w:rsidR="00471AAC">
        <w:t>that there is a Department of the Navy (DoN)</w:t>
      </w:r>
      <w:r w:rsidR="001B13B5" w:rsidRPr="00C8730B">
        <w:t xml:space="preserve"> Directive on </w:t>
      </w:r>
      <w:r w:rsidR="00A7026F" w:rsidRPr="00C8730B">
        <w:t>donation</w:t>
      </w:r>
      <w:r w:rsidR="00471AAC">
        <w:t>s</w:t>
      </w:r>
      <w:r w:rsidR="00A7026F" w:rsidRPr="00C8730B">
        <w:t xml:space="preserve"> that covers all donations</w:t>
      </w:r>
      <w:proofErr w:type="gramEnd"/>
      <w:r w:rsidR="001B13B5" w:rsidRPr="00C8730B">
        <w:t>.</w:t>
      </w:r>
      <w:r>
        <w:t xml:space="preserve">  Ms. Whittemore </w:t>
      </w:r>
      <w:r w:rsidR="00A7026F" w:rsidRPr="00C8730B">
        <w:t xml:space="preserve">asked the Navy to send </w:t>
      </w:r>
      <w:r w:rsidR="001B13B5" w:rsidRPr="00C8730B">
        <w:t xml:space="preserve">the </w:t>
      </w:r>
      <w:r w:rsidR="00471AAC">
        <w:t xml:space="preserve">DoN </w:t>
      </w:r>
      <w:r w:rsidR="001B13B5" w:rsidRPr="00C8730B">
        <w:t>directive</w:t>
      </w:r>
      <w:r w:rsidR="00A7026F" w:rsidRPr="00C8730B">
        <w:t xml:space="preserve"> </w:t>
      </w:r>
      <w:r w:rsidR="001B13B5" w:rsidRPr="00C8730B">
        <w:t>regarding donations</w:t>
      </w:r>
      <w:r w:rsidR="00A7026F" w:rsidRPr="00C8730B">
        <w:t xml:space="preserve"> to OSD for review. </w:t>
      </w:r>
    </w:p>
    <w:p w14:paraId="62F88445" w14:textId="22639055" w:rsidR="00A72C91" w:rsidRPr="00C8730B" w:rsidRDefault="00FF3E24" w:rsidP="00A7026F">
      <w:pPr>
        <w:numPr>
          <w:ilvl w:val="1"/>
          <w:numId w:val="1"/>
        </w:numPr>
      </w:pPr>
      <w:r>
        <w:t xml:space="preserve">Mr. </w:t>
      </w:r>
      <w:r w:rsidR="00A72C91" w:rsidRPr="00C8730B">
        <w:t xml:space="preserve">Johnston </w:t>
      </w:r>
      <w:r w:rsidR="00471AAC">
        <w:t>joined</w:t>
      </w:r>
      <w:r w:rsidR="00A72C91" w:rsidRPr="00C8730B">
        <w:t xml:space="preserve"> the discussion by adding that the Marine Cor</w:t>
      </w:r>
      <w:r w:rsidR="00E62335" w:rsidRPr="00C8730B">
        <w:t>ps</w:t>
      </w:r>
      <w:r w:rsidR="00A72C91" w:rsidRPr="00C8730B">
        <w:t xml:space="preserve"> has a similar process to t</w:t>
      </w:r>
      <w:r w:rsidR="00471AAC">
        <w:t xml:space="preserve">he Navy and they follow DoN </w:t>
      </w:r>
      <w:proofErr w:type="gramStart"/>
      <w:r w:rsidR="00471AAC">
        <w:t>guidance</w:t>
      </w:r>
      <w:proofErr w:type="gramEnd"/>
      <w:r w:rsidR="00471AAC">
        <w:t>.</w:t>
      </w:r>
      <w:r w:rsidR="00A72C91" w:rsidRPr="00C8730B">
        <w:t xml:space="preserve"> </w:t>
      </w:r>
    </w:p>
    <w:p w14:paraId="018C95FF" w14:textId="1BDDD36C" w:rsidR="00A7026F" w:rsidRPr="00C8730B" w:rsidRDefault="003516F4" w:rsidP="00A72C91">
      <w:pPr>
        <w:numPr>
          <w:ilvl w:val="2"/>
          <w:numId w:val="1"/>
        </w:numPr>
      </w:pPr>
      <w:r w:rsidRPr="00C8730B">
        <w:t>Mr. Johnston asked</w:t>
      </w:r>
      <w:r w:rsidR="00471AAC">
        <w:t xml:space="preserve"> his colleague, Ms</w:t>
      </w:r>
      <w:r w:rsidR="00A72C91" w:rsidRPr="00C8730B">
        <w:t xml:space="preserve">. </w:t>
      </w:r>
      <w:r w:rsidRPr="00C8730B">
        <w:t xml:space="preserve">Craddock, </w:t>
      </w:r>
      <w:r w:rsidR="00A72C91" w:rsidRPr="00C8730B">
        <w:t>for an overvi</w:t>
      </w:r>
      <w:r w:rsidR="00E65179" w:rsidRPr="00C8730B">
        <w:t>ew of the Marine C</w:t>
      </w:r>
      <w:r w:rsidR="00A72C91" w:rsidRPr="00C8730B">
        <w:t>or</w:t>
      </w:r>
      <w:r w:rsidR="00E62335" w:rsidRPr="00C8730B">
        <w:t>ps</w:t>
      </w:r>
      <w:r w:rsidR="00A72C91" w:rsidRPr="00C8730B">
        <w:t xml:space="preserve"> policy </w:t>
      </w:r>
      <w:r w:rsidR="00471AAC">
        <w:t>regarding In-Kind D</w:t>
      </w:r>
      <w:r w:rsidR="00E65179" w:rsidRPr="00C8730B">
        <w:t>onations.</w:t>
      </w:r>
    </w:p>
    <w:p w14:paraId="3A7F2BC4" w14:textId="5C21163E" w:rsidR="007B245D" w:rsidRPr="00C8730B" w:rsidRDefault="00471AAC" w:rsidP="007B245D">
      <w:pPr>
        <w:numPr>
          <w:ilvl w:val="2"/>
          <w:numId w:val="1"/>
        </w:numPr>
      </w:pPr>
      <w:r>
        <w:t>Ms.</w:t>
      </w:r>
      <w:r w:rsidR="00A72C91" w:rsidRPr="00C8730B">
        <w:t xml:space="preserve"> Craddock </w:t>
      </w:r>
      <w:r w:rsidR="00045963" w:rsidRPr="00C8730B">
        <w:t xml:space="preserve">confirmed </w:t>
      </w:r>
      <w:r w:rsidR="00E65179" w:rsidRPr="00C8730B">
        <w:t xml:space="preserve">Mr. Johnston’s statement explaining </w:t>
      </w:r>
      <w:r w:rsidR="00045963" w:rsidRPr="00C8730B">
        <w:t xml:space="preserve">the </w:t>
      </w:r>
      <w:r w:rsidR="00E65179" w:rsidRPr="00C8730B">
        <w:t>Marine Cor</w:t>
      </w:r>
      <w:r w:rsidR="00E62335" w:rsidRPr="00C8730B">
        <w:t>ps</w:t>
      </w:r>
      <w:r w:rsidR="00E65179" w:rsidRPr="00C8730B">
        <w:t xml:space="preserve"> policy</w:t>
      </w:r>
      <w:r w:rsidR="003516F4" w:rsidRPr="00C8730B">
        <w:t xml:space="preserve"> is</w:t>
      </w:r>
      <w:r w:rsidR="00045963" w:rsidRPr="00C8730B">
        <w:t xml:space="preserve"> </w:t>
      </w:r>
      <w:r w:rsidR="00E65179" w:rsidRPr="00C8730B">
        <w:t>very similar to that of the Navy’</w:t>
      </w:r>
      <w:r w:rsidR="007B245D" w:rsidRPr="00C8730B">
        <w:t>s in regards to defining</w:t>
      </w:r>
      <w:r w:rsidR="00F641FE" w:rsidRPr="00C8730B">
        <w:t xml:space="preserve"> materiality</w:t>
      </w:r>
      <w:r w:rsidR="001B13B5" w:rsidRPr="00C8730B">
        <w:t xml:space="preserve">, as they are </w:t>
      </w:r>
      <w:r>
        <w:t>also subject to the DoN</w:t>
      </w:r>
      <w:r w:rsidR="001B13B5" w:rsidRPr="00C8730B">
        <w:t xml:space="preserve"> directive</w:t>
      </w:r>
    </w:p>
    <w:p w14:paraId="472A5E83" w14:textId="58C4C7AD" w:rsidR="007B245D" w:rsidRPr="00C8730B" w:rsidRDefault="007B245D" w:rsidP="007B245D">
      <w:pPr>
        <w:numPr>
          <w:ilvl w:val="1"/>
          <w:numId w:val="1"/>
        </w:numPr>
      </w:pPr>
      <w:r w:rsidRPr="00C8730B">
        <w:lastRenderedPageBreak/>
        <w:t xml:space="preserve">Mr. Higginbotham asked a clarifying question regarding </w:t>
      </w:r>
      <w:r w:rsidR="00E63191">
        <w:t>the Services</w:t>
      </w:r>
      <w:r w:rsidR="00471AAC">
        <w:t xml:space="preserve"> definition of </w:t>
      </w:r>
      <w:r w:rsidR="00E62335" w:rsidRPr="00C8730B">
        <w:t>materiality</w:t>
      </w:r>
      <w:r w:rsidRPr="00C8730B">
        <w:t xml:space="preserve"> to assess whether it</w:t>
      </w:r>
      <w:r w:rsidR="00E62335" w:rsidRPr="00C8730B">
        <w:t xml:space="preserve"> i</w:t>
      </w:r>
      <w:r w:rsidRPr="00C8730B">
        <w:t xml:space="preserve">s 1% of total assets </w:t>
      </w:r>
      <w:r w:rsidR="00B34A02" w:rsidRPr="00C8730B">
        <w:t xml:space="preserve">on the consolidated balance sheet </w:t>
      </w:r>
      <w:r w:rsidR="00471AAC">
        <w:t>at</w:t>
      </w:r>
      <w:r w:rsidR="00EE55D4" w:rsidRPr="00C8730B">
        <w:t xml:space="preserve"> the </w:t>
      </w:r>
      <w:r w:rsidRPr="00C8730B">
        <w:t>N</w:t>
      </w:r>
      <w:r w:rsidR="00EE55D4" w:rsidRPr="00C8730B">
        <w:t>A</w:t>
      </w:r>
      <w:r w:rsidRPr="00C8730B">
        <w:t>F</w:t>
      </w:r>
      <w:r w:rsidR="00EE55D4" w:rsidRPr="00C8730B">
        <w:t>I</w:t>
      </w:r>
      <w:r w:rsidRPr="00C8730B">
        <w:t xml:space="preserve"> </w:t>
      </w:r>
      <w:r w:rsidR="00EE55D4" w:rsidRPr="00C8730B">
        <w:t>level</w:t>
      </w:r>
      <w:r w:rsidRPr="00C8730B">
        <w:t xml:space="preserve">. </w:t>
      </w:r>
    </w:p>
    <w:p w14:paraId="033E110B" w14:textId="65EFE6BF" w:rsidR="00F641FE" w:rsidRPr="00C8730B" w:rsidRDefault="007B245D" w:rsidP="007B245D">
      <w:pPr>
        <w:numPr>
          <w:ilvl w:val="1"/>
          <w:numId w:val="1"/>
        </w:numPr>
      </w:pPr>
      <w:r w:rsidRPr="00C8730B">
        <w:t xml:space="preserve">Mr. </w:t>
      </w:r>
      <w:proofErr w:type="spellStart"/>
      <w:r w:rsidR="00F641FE" w:rsidRPr="00C8730B">
        <w:t>Olencamp</w:t>
      </w:r>
      <w:proofErr w:type="spellEnd"/>
      <w:r w:rsidR="00F641FE" w:rsidRPr="00C8730B">
        <w:t xml:space="preserve"> answered Mr. Higginbotham’s question </w:t>
      </w:r>
      <w:r w:rsidRPr="00C8730B">
        <w:t xml:space="preserve">by </w:t>
      </w:r>
      <w:r w:rsidR="00F641FE" w:rsidRPr="00C8730B">
        <w:t>clarifying the Air Force’s policy</w:t>
      </w:r>
      <w:r w:rsidR="00CF7544" w:rsidRPr="00C8730B">
        <w:t>:</w:t>
      </w:r>
    </w:p>
    <w:p w14:paraId="735B929B" w14:textId="5BC7B453" w:rsidR="00F641FE" w:rsidRPr="00C8730B" w:rsidRDefault="007B245D" w:rsidP="00F641FE">
      <w:pPr>
        <w:numPr>
          <w:ilvl w:val="2"/>
          <w:numId w:val="1"/>
        </w:numPr>
      </w:pPr>
      <w:r w:rsidRPr="00C8730B">
        <w:t xml:space="preserve">The </w:t>
      </w:r>
      <w:r w:rsidR="00F641FE" w:rsidRPr="00C8730B">
        <w:t>Air Force</w:t>
      </w:r>
      <w:r w:rsidRPr="00C8730B">
        <w:t xml:space="preserve"> uses their professional judgment rather than a set financial threshold</w:t>
      </w:r>
      <w:r w:rsidR="00F641FE" w:rsidRPr="00C8730B">
        <w:t xml:space="preserve">. Mr. </w:t>
      </w:r>
      <w:proofErr w:type="spellStart"/>
      <w:r w:rsidR="00F641FE" w:rsidRPr="00C8730B">
        <w:t>Olencamp</w:t>
      </w:r>
      <w:proofErr w:type="spellEnd"/>
      <w:r w:rsidR="00F641FE" w:rsidRPr="00C8730B">
        <w:t xml:space="preserve"> explained that the 1</w:t>
      </w:r>
      <w:r w:rsidR="00E63191">
        <w:t xml:space="preserve">% materiality is their </w:t>
      </w:r>
      <w:r w:rsidR="00F641FE" w:rsidRPr="00C8730B">
        <w:t>start</w:t>
      </w:r>
      <w:r w:rsidR="00E63191">
        <w:t xml:space="preserve">ing benchmark and then they apply their </w:t>
      </w:r>
      <w:r w:rsidR="00F641FE" w:rsidRPr="00C8730B">
        <w:t xml:space="preserve">professional judgment rather than </w:t>
      </w:r>
      <w:r w:rsidR="00E63191">
        <w:t xml:space="preserve">just </w:t>
      </w:r>
      <w:r w:rsidR="00F641FE" w:rsidRPr="00C8730B">
        <w:t xml:space="preserve">a set threshold. </w:t>
      </w:r>
    </w:p>
    <w:p w14:paraId="42F1425C" w14:textId="1A71966E" w:rsidR="004F0206" w:rsidRPr="00C8730B" w:rsidRDefault="004F0206" w:rsidP="00F641FE">
      <w:pPr>
        <w:numPr>
          <w:ilvl w:val="1"/>
          <w:numId w:val="1"/>
        </w:numPr>
      </w:pPr>
      <w:r w:rsidRPr="00C8730B">
        <w:t>Mr. Higginbotham</w:t>
      </w:r>
      <w:r w:rsidR="00E63191">
        <w:t xml:space="preserve"> explained that the 1%</w:t>
      </w:r>
      <w:r w:rsidRPr="00C8730B">
        <w:t xml:space="preserve"> is just a baseline for the </w:t>
      </w:r>
      <w:r w:rsidR="00752F8B" w:rsidRPr="00C8730B">
        <w:t>S</w:t>
      </w:r>
      <w:r w:rsidRPr="00C8730B">
        <w:t>ervices and if the Air Force would like to have stricter policies going forward, that is acceptable with</w:t>
      </w:r>
      <w:r w:rsidR="00CD18AE" w:rsidRPr="00C8730B">
        <w:t xml:space="preserve"> OSD. </w:t>
      </w:r>
    </w:p>
    <w:p w14:paraId="30715460" w14:textId="2B68932A" w:rsidR="007B245D" w:rsidRPr="00C8730B" w:rsidRDefault="004F0206" w:rsidP="00F641FE">
      <w:pPr>
        <w:numPr>
          <w:ilvl w:val="1"/>
          <w:numId w:val="1"/>
        </w:numPr>
      </w:pPr>
      <w:r w:rsidRPr="00C8730B">
        <w:t xml:space="preserve">Mr. Blain thanked all the </w:t>
      </w:r>
      <w:r w:rsidR="00752F8B" w:rsidRPr="00C8730B">
        <w:t>S</w:t>
      </w:r>
      <w:r w:rsidRPr="00C8730B">
        <w:t xml:space="preserve">ervices for participating in this topic and requested the Navy send their policy to </w:t>
      </w:r>
      <w:r w:rsidR="008C42AB" w:rsidRPr="00C8730B">
        <w:t>finalize</w:t>
      </w:r>
      <w:r w:rsidRPr="00C8730B">
        <w:t xml:space="preserve"> any updates regarding </w:t>
      </w:r>
      <w:r w:rsidR="00E63191">
        <w:t>Donation of In-Kind A</w:t>
      </w:r>
      <w:r w:rsidRPr="00C8730B">
        <w:t xml:space="preserve">ssets. </w:t>
      </w:r>
      <w:r w:rsidR="007B245D" w:rsidRPr="00C8730B">
        <w:t xml:space="preserve">   </w:t>
      </w:r>
    </w:p>
    <w:p w14:paraId="4C2E37D0" w14:textId="77777777" w:rsidR="004F0206" w:rsidRPr="00C8730B" w:rsidRDefault="004F0206" w:rsidP="004F0206"/>
    <w:p w14:paraId="12BC3072" w14:textId="4304024E" w:rsidR="007D7EB2" w:rsidRPr="00C8730B" w:rsidRDefault="00002FE0" w:rsidP="004F0206">
      <w:pPr>
        <w:rPr>
          <w:b/>
          <w:u w:val="single"/>
        </w:rPr>
      </w:pPr>
      <w:r w:rsidRPr="00C8730B">
        <w:rPr>
          <w:b/>
          <w:u w:val="single"/>
        </w:rPr>
        <w:t>Position Paper</w:t>
      </w:r>
      <w:r w:rsidR="00242AD8">
        <w:rPr>
          <w:b/>
          <w:u w:val="single"/>
        </w:rPr>
        <w:t xml:space="preserve"> (PP)</w:t>
      </w:r>
      <w:r w:rsidRPr="00C8730B">
        <w:rPr>
          <w:b/>
          <w:u w:val="single"/>
        </w:rPr>
        <w:t xml:space="preserve"> </w:t>
      </w:r>
      <w:r w:rsidR="00242AD8">
        <w:rPr>
          <w:b/>
          <w:u w:val="single"/>
        </w:rPr>
        <w:t>D</w:t>
      </w:r>
      <w:r w:rsidRPr="00C8730B">
        <w:rPr>
          <w:b/>
          <w:u w:val="single"/>
        </w:rPr>
        <w:t>iscussion</w:t>
      </w:r>
      <w:r w:rsidR="007D7EB2" w:rsidRPr="00C8730B">
        <w:rPr>
          <w:b/>
          <w:u w:val="single"/>
        </w:rPr>
        <w:t xml:space="preserve"> </w:t>
      </w:r>
      <w:r w:rsidRPr="00C8730B">
        <w:rPr>
          <w:b/>
          <w:u w:val="single"/>
        </w:rPr>
        <w:t>–</w:t>
      </w:r>
      <w:r w:rsidR="007D7EB2" w:rsidRPr="00C8730B">
        <w:rPr>
          <w:b/>
          <w:u w:val="single"/>
        </w:rPr>
        <w:t xml:space="preserve"> Mr. Jeremy Blain, Grant Thornton</w:t>
      </w:r>
      <w:r w:rsidR="004F0206" w:rsidRPr="00C8730B">
        <w:rPr>
          <w:b/>
          <w:u w:val="single"/>
        </w:rPr>
        <w:t xml:space="preserve"> </w:t>
      </w:r>
    </w:p>
    <w:p w14:paraId="26083694" w14:textId="5BB035CF" w:rsidR="004F0206" w:rsidRPr="00C8730B" w:rsidRDefault="004F0206" w:rsidP="004F0206">
      <w:pPr>
        <w:numPr>
          <w:ilvl w:val="0"/>
          <w:numId w:val="1"/>
        </w:numPr>
      </w:pPr>
      <w:r w:rsidRPr="00C8730B">
        <w:t>Mr. Blain started out the discussion of Position Papers by explaining that MC</w:t>
      </w:r>
      <w:r w:rsidR="00D67F23" w:rsidRPr="00C8730B">
        <w:t xml:space="preserve">&amp;FP and Grant Thornton have worked together to propose </w:t>
      </w:r>
      <w:r w:rsidRPr="00C8730B">
        <w:t>six</w:t>
      </w:r>
      <w:r w:rsidR="00D67F23" w:rsidRPr="00C8730B">
        <w:t xml:space="preserve"> position</w:t>
      </w:r>
      <w:r w:rsidRPr="00C8730B">
        <w:t xml:space="preserve"> papers </w:t>
      </w:r>
      <w:r w:rsidR="00D67F23" w:rsidRPr="00C8730B">
        <w:t xml:space="preserve">that need </w:t>
      </w:r>
      <w:r w:rsidRPr="00C8730B">
        <w:t xml:space="preserve">to </w:t>
      </w:r>
      <w:proofErr w:type="gramStart"/>
      <w:r w:rsidRPr="00C8730B">
        <w:t>be discussed</w:t>
      </w:r>
      <w:proofErr w:type="gramEnd"/>
      <w:r w:rsidRPr="00C8730B">
        <w:t xml:space="preserve"> with the goal of re-concurrence</w:t>
      </w:r>
      <w:r w:rsidR="00E20C6A">
        <w:t>, since the original papers were drafted in 2014 or 2015.</w:t>
      </w:r>
      <w:r w:rsidR="00802A93" w:rsidRPr="00C8730B">
        <w:t xml:space="preserve"> </w:t>
      </w:r>
    </w:p>
    <w:p w14:paraId="13B074D2" w14:textId="64BBD9D2" w:rsidR="008C42AB" w:rsidRPr="00C8730B" w:rsidRDefault="004F0206" w:rsidP="008C42AB">
      <w:pPr>
        <w:numPr>
          <w:ilvl w:val="1"/>
          <w:numId w:val="1"/>
        </w:numPr>
      </w:pPr>
      <w:r w:rsidRPr="00C8730B">
        <w:t>Mr. Blain noted that the goal of this review was to provide t</w:t>
      </w:r>
      <w:r w:rsidR="00E20C6A">
        <w:t xml:space="preserve">he Working Group members an </w:t>
      </w:r>
      <w:r w:rsidRPr="00C8730B">
        <w:t>opportunity to comm</w:t>
      </w:r>
      <w:r w:rsidR="008C42AB" w:rsidRPr="00C8730B">
        <w:t xml:space="preserve">ent on these papers. </w:t>
      </w:r>
    </w:p>
    <w:p w14:paraId="5E2CD484" w14:textId="56F2FDEB" w:rsidR="004F0206" w:rsidRPr="00C8730B" w:rsidRDefault="008C42AB" w:rsidP="004F0206">
      <w:pPr>
        <w:numPr>
          <w:ilvl w:val="1"/>
          <w:numId w:val="1"/>
        </w:numPr>
      </w:pPr>
      <w:r w:rsidRPr="00C8730B">
        <w:t xml:space="preserve">There were six </w:t>
      </w:r>
      <w:r w:rsidR="004F0206" w:rsidRPr="00C8730B">
        <w:t xml:space="preserve">papers </w:t>
      </w:r>
      <w:r w:rsidR="00242AD8">
        <w:t xml:space="preserve">for </w:t>
      </w:r>
      <w:r w:rsidRPr="00C8730B">
        <w:t>discuss</w:t>
      </w:r>
      <w:r w:rsidR="00242AD8">
        <w:t>ion</w:t>
      </w:r>
      <w:r w:rsidRPr="00C8730B">
        <w:t xml:space="preserve"> with the </w:t>
      </w:r>
      <w:r w:rsidR="00752F8B" w:rsidRPr="00C8730B">
        <w:t>S</w:t>
      </w:r>
      <w:r w:rsidRPr="00C8730B">
        <w:t>ervices:</w:t>
      </w:r>
    </w:p>
    <w:p w14:paraId="020CDF4D" w14:textId="77777777" w:rsidR="008C42AB" w:rsidRPr="00C8730B" w:rsidRDefault="008C42AB" w:rsidP="008C42AB">
      <w:pPr>
        <w:numPr>
          <w:ilvl w:val="2"/>
          <w:numId w:val="1"/>
        </w:numPr>
      </w:pPr>
      <w:r w:rsidRPr="00C8730B">
        <w:t>Credit Card Receivables – PP #8</w:t>
      </w:r>
    </w:p>
    <w:p w14:paraId="42DF4A0A" w14:textId="77777777" w:rsidR="008C42AB" w:rsidRPr="00C8730B" w:rsidRDefault="008C42AB" w:rsidP="008C42AB">
      <w:pPr>
        <w:numPr>
          <w:ilvl w:val="2"/>
          <w:numId w:val="1"/>
        </w:numPr>
      </w:pPr>
      <w:r w:rsidRPr="00C8730B">
        <w:t>Asset Useful Life – PP #5</w:t>
      </w:r>
    </w:p>
    <w:p w14:paraId="0B283CE7" w14:textId="77777777" w:rsidR="008C42AB" w:rsidRPr="00C8730B" w:rsidRDefault="008C42AB" w:rsidP="008C42AB">
      <w:pPr>
        <w:numPr>
          <w:ilvl w:val="2"/>
          <w:numId w:val="1"/>
        </w:numPr>
      </w:pPr>
      <w:r w:rsidRPr="00C8730B">
        <w:t>Uniform Funding and Management (UFM) – PP #14</w:t>
      </w:r>
    </w:p>
    <w:p w14:paraId="21B5172D" w14:textId="77777777" w:rsidR="008C42AB" w:rsidRPr="00C8730B" w:rsidRDefault="008C42AB" w:rsidP="008C42AB">
      <w:pPr>
        <w:numPr>
          <w:ilvl w:val="2"/>
          <w:numId w:val="1"/>
        </w:numPr>
      </w:pPr>
      <w:r w:rsidRPr="00C8730B">
        <w:t>Commercial Sponsorship – PP #7</w:t>
      </w:r>
    </w:p>
    <w:p w14:paraId="3B46E819" w14:textId="77777777" w:rsidR="008C42AB" w:rsidRPr="00C8730B" w:rsidRDefault="008C42AB" w:rsidP="008C42AB">
      <w:pPr>
        <w:numPr>
          <w:ilvl w:val="2"/>
          <w:numId w:val="1"/>
        </w:numPr>
      </w:pPr>
      <w:r w:rsidRPr="00C8730B">
        <w:t>Prior Period Adjustments – PP #11</w:t>
      </w:r>
    </w:p>
    <w:p w14:paraId="60644736" w14:textId="2A5663DA" w:rsidR="008C42AB" w:rsidRPr="00C8730B" w:rsidRDefault="008C42AB" w:rsidP="006E08DC">
      <w:pPr>
        <w:numPr>
          <w:ilvl w:val="2"/>
          <w:numId w:val="1"/>
        </w:numPr>
      </w:pPr>
      <w:r w:rsidRPr="00C8730B">
        <w:t>Ticket Sales – PP</w:t>
      </w:r>
      <w:r w:rsidR="00012309" w:rsidRPr="00C8730B">
        <w:t xml:space="preserve"> #13</w:t>
      </w:r>
      <w:r w:rsidRPr="00C8730B">
        <w:t xml:space="preserve"> </w:t>
      </w:r>
    </w:p>
    <w:p w14:paraId="607BBF01" w14:textId="057D845A" w:rsidR="001842B1" w:rsidRPr="00C8730B" w:rsidRDefault="004F0206" w:rsidP="001842B1">
      <w:pPr>
        <w:numPr>
          <w:ilvl w:val="0"/>
          <w:numId w:val="1"/>
        </w:numPr>
      </w:pPr>
      <w:r w:rsidRPr="00C8730B">
        <w:t xml:space="preserve">Mr. Blain began with </w:t>
      </w:r>
      <w:r w:rsidR="00E371C7" w:rsidRPr="00C8730B">
        <w:t>the Credit Card Receivables</w:t>
      </w:r>
      <w:r w:rsidR="001842B1" w:rsidRPr="00C8730B">
        <w:t xml:space="preserve"> paper. </w:t>
      </w:r>
    </w:p>
    <w:p w14:paraId="3B4B1530" w14:textId="3ECA2EFA" w:rsidR="001842B1" w:rsidRPr="00C8730B" w:rsidRDefault="00E20C6A" w:rsidP="001842B1">
      <w:pPr>
        <w:numPr>
          <w:ilvl w:val="1"/>
          <w:numId w:val="1"/>
        </w:numPr>
      </w:pPr>
      <w:r>
        <w:t>The paper recommends</w:t>
      </w:r>
      <w:r w:rsidR="001842B1" w:rsidRPr="00C8730B">
        <w:t xml:space="preserve"> that all sales of merchandise or services using credit cards </w:t>
      </w:r>
      <w:proofErr w:type="gramStart"/>
      <w:r w:rsidR="001842B1" w:rsidRPr="00C8730B">
        <w:t>be recorded</w:t>
      </w:r>
      <w:proofErr w:type="gramEnd"/>
      <w:r w:rsidR="001842B1" w:rsidRPr="00C8730B">
        <w:t xml:space="preserve"> as cash at the time of sale. </w:t>
      </w:r>
    </w:p>
    <w:p w14:paraId="27D35636" w14:textId="58727749" w:rsidR="000D48C4" w:rsidRPr="00C8730B" w:rsidRDefault="006E08DC" w:rsidP="00E371C7">
      <w:pPr>
        <w:numPr>
          <w:ilvl w:val="1"/>
          <w:numId w:val="1"/>
        </w:numPr>
      </w:pPr>
      <w:r w:rsidRPr="00C8730B">
        <w:t>Ms. Daugh</w:t>
      </w:r>
      <w:r w:rsidR="00524DD4" w:rsidRPr="00C8730B">
        <w:t>ert</w:t>
      </w:r>
      <w:r w:rsidR="00657990" w:rsidRPr="00C8730B">
        <w:t xml:space="preserve">y </w:t>
      </w:r>
      <w:r w:rsidR="00524DD4" w:rsidRPr="00C8730B">
        <w:t xml:space="preserve">stated that the Army concurs with the position paper as long as there was </w:t>
      </w:r>
      <w:r w:rsidR="005758B4">
        <w:t>the ability to differentiate between credit card receivables</w:t>
      </w:r>
      <w:r w:rsidR="00524DD4" w:rsidRPr="00C8730B">
        <w:t xml:space="preserve"> and cash r</w:t>
      </w:r>
      <w:r w:rsidR="005758B4">
        <w:t>eceivables</w:t>
      </w:r>
      <w:r w:rsidR="00524DD4" w:rsidRPr="00C8730B">
        <w:t>.</w:t>
      </w:r>
    </w:p>
    <w:p w14:paraId="6783A059" w14:textId="394B4C54" w:rsidR="004F0206" w:rsidRPr="00C8730B" w:rsidRDefault="000D48C4" w:rsidP="00E20C6A">
      <w:pPr>
        <w:numPr>
          <w:ilvl w:val="1"/>
          <w:numId w:val="1"/>
        </w:numPr>
      </w:pPr>
      <w:r w:rsidRPr="00C8730B">
        <w:t xml:space="preserve">Ms. </w:t>
      </w:r>
      <w:r w:rsidR="00FB2FDE">
        <w:t>Lipko</w:t>
      </w:r>
      <w:r w:rsidRPr="00C8730B">
        <w:t xml:space="preserve"> </w:t>
      </w:r>
      <w:r w:rsidR="005758B4">
        <w:t>agreed with the Army</w:t>
      </w:r>
      <w:r w:rsidRPr="00C8730B">
        <w:t xml:space="preserve">. </w:t>
      </w:r>
      <w:r w:rsidR="0020164D" w:rsidRPr="00C8730B">
        <w:t xml:space="preserve"> </w:t>
      </w:r>
    </w:p>
    <w:p w14:paraId="733FA68B" w14:textId="67D62F12" w:rsidR="004472EC" w:rsidRPr="00C8730B" w:rsidRDefault="0020164D" w:rsidP="00E20C6A">
      <w:pPr>
        <w:numPr>
          <w:ilvl w:val="1"/>
          <w:numId w:val="1"/>
        </w:numPr>
      </w:pPr>
      <w:r w:rsidRPr="00C8730B">
        <w:t>Mr. Johnston also shared the same views as the</w:t>
      </w:r>
      <w:r w:rsidR="008C7A40" w:rsidRPr="00C8730B">
        <w:t xml:space="preserve"> Army with added feedback</w:t>
      </w:r>
      <w:r w:rsidRPr="00C8730B">
        <w:t>:</w:t>
      </w:r>
      <w:r w:rsidR="00E20C6A">
        <w:t xml:space="preserve"> </w:t>
      </w:r>
      <w:r w:rsidRPr="00C8730B">
        <w:t>Mr. Johnson</w:t>
      </w:r>
      <w:r w:rsidR="005758B4">
        <w:t xml:space="preserve"> raised the need to be able to accommodate </w:t>
      </w:r>
      <w:r w:rsidRPr="00C8730B">
        <w:t>credi</w:t>
      </w:r>
      <w:r w:rsidR="005758B4">
        <w:t>t card denials and disputes</w:t>
      </w:r>
      <w:r w:rsidRPr="00C8730B">
        <w:t xml:space="preserve">. </w:t>
      </w:r>
      <w:r w:rsidR="00E20C6A">
        <w:t xml:space="preserve"> </w:t>
      </w:r>
      <w:r w:rsidR="005758B4">
        <w:t>Ms. Craddock added to this is especially important at the end of the</w:t>
      </w:r>
      <w:r w:rsidR="004472EC" w:rsidRPr="00C8730B">
        <w:t xml:space="preserve"> fiscal year. </w:t>
      </w:r>
    </w:p>
    <w:p w14:paraId="23F84E9A" w14:textId="60991E4E" w:rsidR="002038D5" w:rsidRPr="00C8730B" w:rsidRDefault="004472EC" w:rsidP="00375753">
      <w:pPr>
        <w:numPr>
          <w:ilvl w:val="2"/>
          <w:numId w:val="1"/>
        </w:numPr>
      </w:pPr>
      <w:r w:rsidRPr="00C8730B">
        <w:lastRenderedPageBreak/>
        <w:t xml:space="preserve">Mr. Higginbotham </w:t>
      </w:r>
      <w:r w:rsidR="002038D5" w:rsidRPr="00C8730B">
        <w:t xml:space="preserve">noted that at the March </w:t>
      </w:r>
      <w:r w:rsidR="005758B4">
        <w:t>NAFSGL O</w:t>
      </w:r>
      <w:r w:rsidR="002038D5" w:rsidRPr="00C8730B">
        <w:t>ffs</w:t>
      </w:r>
      <w:r w:rsidR="005758B4">
        <w:t xml:space="preserve">ite, </w:t>
      </w:r>
      <w:r w:rsidR="002038D5" w:rsidRPr="00C8730B">
        <w:t xml:space="preserve">the Navy </w:t>
      </w:r>
      <w:r w:rsidR="005758B4">
        <w:t xml:space="preserve">determined </w:t>
      </w:r>
      <w:r w:rsidR="002038D5" w:rsidRPr="00C8730B">
        <w:t xml:space="preserve">that the credit card receivables would be outstanding for a period of two or three days maximum at </w:t>
      </w:r>
      <w:proofErr w:type="gramStart"/>
      <w:r w:rsidR="002038D5" w:rsidRPr="00C8730B">
        <w:t>year end</w:t>
      </w:r>
      <w:proofErr w:type="gramEnd"/>
      <w:r w:rsidR="002038D5" w:rsidRPr="00C8730B">
        <w:t>. Via the calculation of total credit sales over the year, this amount was determined to be less than 0.1%. With this in mind, a separate NAFSGL GLAC forcing the Services to report Credit Card sales as Merchant Card receivables seemed unnecessary. The paper allows for Credit Card sales to be treated as cash.</w:t>
      </w:r>
    </w:p>
    <w:p w14:paraId="18C563AC" w14:textId="11C5732F" w:rsidR="004472EC" w:rsidRPr="00C8730B" w:rsidRDefault="002879A9" w:rsidP="00375753">
      <w:pPr>
        <w:numPr>
          <w:ilvl w:val="2"/>
          <w:numId w:val="1"/>
        </w:numPr>
      </w:pPr>
      <w:r>
        <w:t>The Marine Corps and Air For</w:t>
      </w:r>
      <w:r w:rsidR="002038D5" w:rsidRPr="00C8730B">
        <w:t xml:space="preserve">ce commented that for their own audit purposes, they would like to have a cost center in the customer receivables account for credit card receivables. Mr. Blain noted that </w:t>
      </w:r>
      <w:r w:rsidR="00E20C6A">
        <w:t xml:space="preserve">the Position Paper </w:t>
      </w:r>
      <w:r w:rsidR="002038D5" w:rsidRPr="00C8730B">
        <w:t xml:space="preserve">would </w:t>
      </w:r>
      <w:r w:rsidR="00E20C6A">
        <w:t xml:space="preserve">be </w:t>
      </w:r>
      <w:r w:rsidR="002038D5" w:rsidRPr="00C8730B">
        <w:t>update</w:t>
      </w:r>
      <w:r w:rsidR="00E20C6A">
        <w:t>d</w:t>
      </w:r>
      <w:r w:rsidR="002038D5" w:rsidRPr="00C8730B">
        <w:t xml:space="preserve"> to allow that, </w:t>
      </w:r>
      <w:proofErr w:type="gramStart"/>
      <w:r w:rsidR="002038D5" w:rsidRPr="00C8730B">
        <w:t>and also</w:t>
      </w:r>
      <w:proofErr w:type="gramEnd"/>
      <w:r w:rsidR="002038D5" w:rsidRPr="00C8730B">
        <w:t xml:space="preserve"> allow credit card revenues to go directly to cash given the immaterial amounts involved. </w:t>
      </w:r>
    </w:p>
    <w:p w14:paraId="02A01132" w14:textId="5A0638D9" w:rsidR="004472EC" w:rsidRPr="00C8730B" w:rsidRDefault="004472EC" w:rsidP="00FA093B">
      <w:pPr>
        <w:pStyle w:val="ListParagraph"/>
        <w:numPr>
          <w:ilvl w:val="1"/>
          <w:numId w:val="1"/>
        </w:numPr>
        <w:spacing w:after="160" w:line="259" w:lineRule="auto"/>
      </w:pPr>
      <w:r w:rsidRPr="00C8730B">
        <w:t xml:space="preserve">All </w:t>
      </w:r>
      <w:r w:rsidR="00752F8B" w:rsidRPr="00C8730B">
        <w:t>S</w:t>
      </w:r>
      <w:r w:rsidRPr="00C8730B">
        <w:t xml:space="preserve">ervices concurred with the Credit Card receivables </w:t>
      </w:r>
      <w:r w:rsidR="00E20C6A">
        <w:t xml:space="preserve">Position </w:t>
      </w:r>
      <w:r w:rsidRPr="00C8730B">
        <w:t xml:space="preserve">Paper </w:t>
      </w:r>
      <w:r w:rsidR="00E20C6A">
        <w:t xml:space="preserve">#8 </w:t>
      </w:r>
      <w:r w:rsidR="00DC257D" w:rsidRPr="00C8730B">
        <w:t xml:space="preserve">as long as </w:t>
      </w:r>
      <w:r w:rsidRPr="00C8730B">
        <w:t xml:space="preserve">cash and credit card </w:t>
      </w:r>
      <w:r w:rsidR="00DC257D" w:rsidRPr="00C8730B">
        <w:t>transactions</w:t>
      </w:r>
      <w:r w:rsidR="00E26922" w:rsidRPr="00C8730B">
        <w:t xml:space="preserve"> </w:t>
      </w:r>
      <w:proofErr w:type="gramStart"/>
      <w:r w:rsidR="00DC257D" w:rsidRPr="00C8730B">
        <w:t>c</w:t>
      </w:r>
      <w:r w:rsidRPr="00C8730B">
        <w:t>ould be differentiated</w:t>
      </w:r>
      <w:proofErr w:type="gramEnd"/>
      <w:r w:rsidRPr="00C8730B">
        <w:t xml:space="preserve">. </w:t>
      </w:r>
    </w:p>
    <w:p w14:paraId="3B203FC1" w14:textId="1BEBF6BF" w:rsidR="00CF0C24" w:rsidRPr="00C8730B" w:rsidRDefault="00FA093B" w:rsidP="00CF0C24">
      <w:pPr>
        <w:pStyle w:val="ListParagraph"/>
        <w:numPr>
          <w:ilvl w:val="0"/>
          <w:numId w:val="1"/>
        </w:numPr>
        <w:spacing w:after="160" w:line="259" w:lineRule="auto"/>
      </w:pPr>
      <w:r w:rsidRPr="00C8730B">
        <w:t xml:space="preserve">Mr. Blain then discussed </w:t>
      </w:r>
      <w:r w:rsidR="001943F4" w:rsidRPr="00C8730B">
        <w:t>the next paper</w:t>
      </w:r>
      <w:r w:rsidRPr="00C8730B">
        <w:t>: Asset Useful Life.</w:t>
      </w:r>
    </w:p>
    <w:p w14:paraId="27CDBFE7" w14:textId="108C99C2" w:rsidR="000C4C07" w:rsidRPr="00C8730B" w:rsidRDefault="00E20C6A" w:rsidP="000C4C07">
      <w:pPr>
        <w:pStyle w:val="ListParagraph"/>
        <w:numPr>
          <w:ilvl w:val="1"/>
          <w:numId w:val="1"/>
        </w:numPr>
      </w:pPr>
      <w:r>
        <w:t xml:space="preserve">This paper recommends the </w:t>
      </w:r>
      <w:r w:rsidR="005758B4">
        <w:t>creation of an asset useful life</w:t>
      </w:r>
      <w:r w:rsidR="00CF0C24" w:rsidRPr="00C8730B">
        <w:t xml:space="preserve"> table for NAF depreciation that meets the Services’ needs and provides uniformity and consistency. It </w:t>
      </w:r>
      <w:proofErr w:type="gramStart"/>
      <w:r w:rsidR="00CF0C24" w:rsidRPr="00C8730B">
        <w:t>was recommended</w:t>
      </w:r>
      <w:proofErr w:type="gramEnd"/>
      <w:r w:rsidR="00CF0C24" w:rsidRPr="00C8730B">
        <w:t xml:space="preserve"> that a range of useful lives be allowed for most asset classes instead of a single fixed </w:t>
      </w:r>
      <w:r w:rsidR="003F5D88">
        <w:t xml:space="preserve">number of </w:t>
      </w:r>
      <w:r w:rsidRPr="00C8730B">
        <w:t>yea</w:t>
      </w:r>
      <w:r>
        <w:t>r</w:t>
      </w:r>
      <w:r w:rsidRPr="00C8730B">
        <w:t>s</w:t>
      </w:r>
      <w:r w:rsidR="00CF0C24" w:rsidRPr="00C8730B">
        <w:t xml:space="preserve"> for each asset class. </w:t>
      </w:r>
    </w:p>
    <w:p w14:paraId="490AC0BC" w14:textId="7CAEA147" w:rsidR="000C4C07" w:rsidRPr="00C8730B" w:rsidRDefault="000C4C07" w:rsidP="008C0CFA">
      <w:pPr>
        <w:pStyle w:val="ListParagraph"/>
        <w:numPr>
          <w:ilvl w:val="1"/>
          <w:numId w:val="1"/>
        </w:numPr>
        <w:spacing w:after="160" w:line="259" w:lineRule="auto"/>
      </w:pPr>
      <w:r w:rsidRPr="00C8730B">
        <w:t xml:space="preserve">Ms. </w:t>
      </w:r>
      <w:r w:rsidR="00FB2FDE">
        <w:t>Lipko</w:t>
      </w:r>
      <w:r w:rsidRPr="00C8730B">
        <w:t xml:space="preserve"> noted that the asset “land and improvement” was written on the paper twice. Mr. Higginbotham reviewed and conclud</w:t>
      </w:r>
      <w:r w:rsidR="003F5D88">
        <w:t>ed that this error will be corrected</w:t>
      </w:r>
      <w:r w:rsidRPr="00C8730B">
        <w:t xml:space="preserve">. </w:t>
      </w:r>
    </w:p>
    <w:p w14:paraId="6670789B" w14:textId="4D5CA66D" w:rsidR="001B13B5" w:rsidRPr="00C8730B" w:rsidRDefault="001B13B5" w:rsidP="008C0CFA">
      <w:pPr>
        <w:pStyle w:val="ListParagraph"/>
        <w:numPr>
          <w:ilvl w:val="1"/>
          <w:numId w:val="1"/>
        </w:numPr>
        <w:spacing w:after="160" w:line="259" w:lineRule="auto"/>
      </w:pPr>
      <w:r w:rsidRPr="00C8730B">
        <w:t xml:space="preserve">No Service raised any objections to the Air Force’s request to add two new asset classifications regarding airplane assets. </w:t>
      </w:r>
    </w:p>
    <w:p w14:paraId="5ACAA7C2" w14:textId="36B782FA" w:rsidR="00FA093B" w:rsidRPr="00C8730B" w:rsidRDefault="000C4C07" w:rsidP="008C0CFA">
      <w:pPr>
        <w:pStyle w:val="ListParagraph"/>
        <w:numPr>
          <w:ilvl w:val="1"/>
          <w:numId w:val="1"/>
        </w:numPr>
        <w:spacing w:after="160" w:line="259" w:lineRule="auto"/>
      </w:pPr>
      <w:r w:rsidRPr="00C8730B">
        <w:t xml:space="preserve">All </w:t>
      </w:r>
      <w:r w:rsidR="00752F8B" w:rsidRPr="00C8730B">
        <w:t>S</w:t>
      </w:r>
      <w:r w:rsidRPr="00C8730B">
        <w:t xml:space="preserve">ervices concurred with the Asset Useful Life </w:t>
      </w:r>
      <w:r w:rsidR="00E20C6A">
        <w:t>Position P</w:t>
      </w:r>
      <w:r w:rsidRPr="00C8730B">
        <w:t>aper</w:t>
      </w:r>
      <w:r w:rsidR="00E20C6A">
        <w:t xml:space="preserve"> #5</w:t>
      </w:r>
      <w:r w:rsidRPr="00C8730B">
        <w:t xml:space="preserve">. </w:t>
      </w:r>
    </w:p>
    <w:p w14:paraId="71AD5F38" w14:textId="4EDE54B9" w:rsidR="000C4C07" w:rsidRPr="00C8730B" w:rsidRDefault="000C4C07" w:rsidP="000C4C07">
      <w:pPr>
        <w:pStyle w:val="ListParagraph"/>
        <w:numPr>
          <w:ilvl w:val="0"/>
          <w:numId w:val="1"/>
        </w:numPr>
        <w:spacing w:after="160" w:line="259" w:lineRule="auto"/>
      </w:pPr>
      <w:r w:rsidRPr="00C8730B">
        <w:t xml:space="preserve">Mr. </w:t>
      </w:r>
      <w:r w:rsidR="00083A47" w:rsidRPr="00C8730B">
        <w:t xml:space="preserve">Blain </w:t>
      </w:r>
      <w:r w:rsidR="009A1BFA">
        <w:t xml:space="preserve">then discussed the </w:t>
      </w:r>
      <w:r w:rsidRPr="00C8730B">
        <w:t>Uniform Funding and Management (UFM)</w:t>
      </w:r>
      <w:r w:rsidR="009A1BFA">
        <w:t xml:space="preserve"> paper</w:t>
      </w:r>
      <w:r w:rsidRPr="00C8730B">
        <w:t xml:space="preserve">. </w:t>
      </w:r>
    </w:p>
    <w:p w14:paraId="65D9D7FD" w14:textId="752EACA1" w:rsidR="000C4C07" w:rsidRPr="00C8730B" w:rsidRDefault="009A1BFA" w:rsidP="000C4C07">
      <w:pPr>
        <w:pStyle w:val="ListParagraph"/>
        <w:numPr>
          <w:ilvl w:val="1"/>
          <w:numId w:val="1"/>
        </w:numPr>
        <w:spacing w:after="160" w:line="259" w:lineRule="auto"/>
      </w:pPr>
      <w:r>
        <w:t>This paper</w:t>
      </w:r>
      <w:r w:rsidR="009E79B2">
        <w:t xml:space="preserve"> includes two approaches to accounting for UFM.</w:t>
      </w:r>
    </w:p>
    <w:p w14:paraId="3EF65560" w14:textId="0C828DB2" w:rsidR="00C922D7" w:rsidRPr="00C8730B" w:rsidRDefault="00C922D7" w:rsidP="00C922D7">
      <w:pPr>
        <w:pStyle w:val="ListParagraph"/>
        <w:numPr>
          <w:ilvl w:val="2"/>
          <w:numId w:val="1"/>
        </w:numPr>
        <w:spacing w:after="160" w:line="259" w:lineRule="auto"/>
      </w:pPr>
      <w:r w:rsidRPr="00C8730B">
        <w:t xml:space="preserve">Recommendation A: Standardize journal transactions and recording of </w:t>
      </w:r>
      <w:r w:rsidR="009E79B2">
        <w:t xml:space="preserve">UFM as unearned income. </w:t>
      </w:r>
    </w:p>
    <w:p w14:paraId="1AA19A4C" w14:textId="67AC4517" w:rsidR="009E79B2" w:rsidRPr="00C8730B" w:rsidRDefault="00C922D7" w:rsidP="009E79B2">
      <w:pPr>
        <w:pStyle w:val="ListParagraph"/>
        <w:numPr>
          <w:ilvl w:val="2"/>
          <w:numId w:val="1"/>
        </w:numPr>
        <w:spacing w:after="160" w:line="259" w:lineRule="auto"/>
      </w:pPr>
      <w:r w:rsidRPr="00C8730B">
        <w:t xml:space="preserve">Recommendation B: </w:t>
      </w:r>
      <w:r w:rsidR="00C96F20" w:rsidRPr="00C8730B">
        <w:t>Record UFM funds as a single offsetting contra-expense account in the income statement.</w:t>
      </w:r>
      <w:r w:rsidR="009E79B2" w:rsidRPr="009E79B2">
        <w:t xml:space="preserve"> </w:t>
      </w:r>
    </w:p>
    <w:p w14:paraId="58FD5E9F" w14:textId="690EE995" w:rsidR="00E30C59" w:rsidRDefault="00DD525F" w:rsidP="00B14FC2">
      <w:pPr>
        <w:pStyle w:val="ListParagraph"/>
        <w:numPr>
          <w:ilvl w:val="1"/>
          <w:numId w:val="1"/>
        </w:numPr>
        <w:spacing w:after="160" w:line="259" w:lineRule="auto"/>
      </w:pPr>
      <w:r w:rsidRPr="00C8730B">
        <w:t xml:space="preserve">Mr. </w:t>
      </w:r>
      <w:proofErr w:type="spellStart"/>
      <w:r w:rsidRPr="00C8730B">
        <w:t>Olencamp</w:t>
      </w:r>
      <w:proofErr w:type="spellEnd"/>
      <w:r w:rsidRPr="00C8730B">
        <w:t xml:space="preserve"> noted that there needs to be a clear distinction </w:t>
      </w:r>
      <w:r w:rsidR="00064ED7" w:rsidRPr="00C8730B">
        <w:t xml:space="preserve">on </w:t>
      </w:r>
      <w:r w:rsidRPr="00C8730B">
        <w:t xml:space="preserve">whether the </w:t>
      </w:r>
      <w:r w:rsidR="00DC257D" w:rsidRPr="00C8730B">
        <w:t>S</w:t>
      </w:r>
      <w:r w:rsidRPr="00C8730B">
        <w:t xml:space="preserve">ervices would capitalize </w:t>
      </w:r>
      <w:r w:rsidR="00DC257D" w:rsidRPr="00C8730B">
        <w:t xml:space="preserve">assets purchased with UFM </w:t>
      </w:r>
      <w:r w:rsidRPr="00C8730B">
        <w:t>and follow G</w:t>
      </w:r>
      <w:r w:rsidR="00DC257D" w:rsidRPr="00C8730B">
        <w:t>A</w:t>
      </w:r>
      <w:r w:rsidR="009E79B2">
        <w:t xml:space="preserve">AP or expense the </w:t>
      </w:r>
      <w:proofErr w:type="gramStart"/>
      <w:r w:rsidR="009E79B2">
        <w:t>assets</w:t>
      </w:r>
      <w:r w:rsidR="00DC257D" w:rsidRPr="00C8730B">
        <w:t xml:space="preserve"> which</w:t>
      </w:r>
      <w:proofErr w:type="gramEnd"/>
      <w:r w:rsidR="00DC257D" w:rsidRPr="00C8730B">
        <w:t xml:space="preserve"> is in line with</w:t>
      </w:r>
      <w:r w:rsidRPr="00C8730B">
        <w:t xml:space="preserve"> FMR </w:t>
      </w:r>
      <w:r w:rsidR="001F4C0F" w:rsidRPr="00C8730B">
        <w:t xml:space="preserve">and the </w:t>
      </w:r>
      <w:r w:rsidR="009E79B2">
        <w:t>DoDI 1015.15</w:t>
      </w:r>
      <w:r w:rsidRPr="00C8730B">
        <w:t xml:space="preserve">. </w:t>
      </w:r>
      <w:r w:rsidR="00E20C6A">
        <w:t xml:space="preserve"> </w:t>
      </w:r>
      <w:r w:rsidRPr="00C8730B">
        <w:t xml:space="preserve">Mr. Higginbotham informed the </w:t>
      </w:r>
      <w:r w:rsidR="00DC257D" w:rsidRPr="00C8730B">
        <w:t>S</w:t>
      </w:r>
      <w:r w:rsidRPr="00C8730B">
        <w:t>ervices that this</w:t>
      </w:r>
      <w:r w:rsidR="00BA63E5" w:rsidRPr="00C8730B">
        <w:t xml:space="preserve"> was </w:t>
      </w:r>
      <w:r w:rsidR="009E79B2">
        <w:t xml:space="preserve">a </w:t>
      </w:r>
      <w:r w:rsidR="00BA63E5" w:rsidRPr="00C8730B">
        <w:t>separate</w:t>
      </w:r>
      <w:r w:rsidRPr="00C8730B">
        <w:t xml:space="preserve"> issue </w:t>
      </w:r>
      <w:r w:rsidR="00BA63E5" w:rsidRPr="00C8730B">
        <w:t xml:space="preserve">that </w:t>
      </w:r>
      <w:proofErr w:type="gramStart"/>
      <w:r w:rsidR="000F05FD" w:rsidRPr="00C8730B">
        <w:t>will</w:t>
      </w:r>
      <w:r w:rsidRPr="00C8730B">
        <w:t xml:space="preserve"> </w:t>
      </w:r>
      <w:r w:rsidR="009E79B2">
        <w:t xml:space="preserve">be </w:t>
      </w:r>
      <w:r w:rsidR="00BA63E5" w:rsidRPr="00C8730B">
        <w:t>addressed</w:t>
      </w:r>
      <w:proofErr w:type="gramEnd"/>
      <w:r w:rsidR="00BA63E5" w:rsidRPr="00C8730B">
        <w:t xml:space="preserve"> with a </w:t>
      </w:r>
      <w:r w:rsidR="000F05FD" w:rsidRPr="00C8730B">
        <w:t xml:space="preserve">new </w:t>
      </w:r>
      <w:r w:rsidR="005B2ED1" w:rsidRPr="00C8730B">
        <w:t xml:space="preserve">position paper </w:t>
      </w:r>
      <w:r w:rsidR="00BA63E5" w:rsidRPr="00C8730B">
        <w:t xml:space="preserve">being </w:t>
      </w:r>
      <w:r w:rsidRPr="00C8730B">
        <w:t>dra</w:t>
      </w:r>
      <w:r w:rsidR="00BA63E5" w:rsidRPr="00C8730B">
        <w:t xml:space="preserve">fted. </w:t>
      </w:r>
      <w:r w:rsidRPr="00C8730B">
        <w:t xml:space="preserve"> </w:t>
      </w:r>
      <w:r w:rsidR="000F05FD" w:rsidRPr="00C8730B">
        <w:t xml:space="preserve">Ms. </w:t>
      </w:r>
      <w:r w:rsidR="00E20C6A">
        <w:t xml:space="preserve">Stephens </w:t>
      </w:r>
      <w:r w:rsidR="009E79B2">
        <w:t>stated</w:t>
      </w:r>
      <w:r w:rsidR="00E30C59" w:rsidRPr="00C8730B">
        <w:t xml:space="preserve"> that the Navy </w:t>
      </w:r>
      <w:r w:rsidR="00DC257D" w:rsidRPr="00C8730B">
        <w:t>follows the FMR direction of expensing these assets and expressed concerned with changing the treatment of assets purchased with UFM to being depreciated as this</w:t>
      </w:r>
      <w:r w:rsidR="009E79B2">
        <w:t xml:space="preserve"> may cause the Services to violate the Anti-Deficiency Act</w:t>
      </w:r>
      <w:r w:rsidR="00DC257D" w:rsidRPr="00C8730B">
        <w:t xml:space="preserve">. </w:t>
      </w:r>
      <w:r w:rsidR="00E30C59" w:rsidRPr="00C8730B">
        <w:t xml:space="preserve"> </w:t>
      </w:r>
      <w:r w:rsidR="00E30C59" w:rsidRPr="00C8730B">
        <w:lastRenderedPageBreak/>
        <w:t xml:space="preserve">With concurrence from all </w:t>
      </w:r>
      <w:r w:rsidR="00752F8B" w:rsidRPr="00C8730B">
        <w:t>S</w:t>
      </w:r>
      <w:r w:rsidR="00E30C59" w:rsidRPr="00C8730B">
        <w:t xml:space="preserve">ervices, Mr. Blain noted that </w:t>
      </w:r>
      <w:r w:rsidR="009E79B2">
        <w:t xml:space="preserve">depreciation of </w:t>
      </w:r>
      <w:r w:rsidR="00E30C59" w:rsidRPr="00C8730B">
        <w:t xml:space="preserve">MOA and UFM assets are </w:t>
      </w:r>
      <w:r w:rsidR="009E79B2">
        <w:t xml:space="preserve">a </w:t>
      </w:r>
      <w:r w:rsidR="00E20C6A">
        <w:t>pending issue</w:t>
      </w:r>
      <w:r w:rsidR="00E30C59" w:rsidRPr="00C8730B">
        <w:t xml:space="preserve"> and </w:t>
      </w:r>
      <w:proofErr w:type="gramStart"/>
      <w:r w:rsidR="00E30C59" w:rsidRPr="00C8730B">
        <w:t>wil</w:t>
      </w:r>
      <w:r w:rsidR="009E79B2">
        <w:t>l be addressed</w:t>
      </w:r>
      <w:proofErr w:type="gramEnd"/>
      <w:r w:rsidR="009E79B2">
        <w:t xml:space="preserve"> separately.</w:t>
      </w:r>
    </w:p>
    <w:p w14:paraId="712BD194" w14:textId="7ED9ABE9" w:rsidR="002F7087" w:rsidRPr="00C8730B" w:rsidRDefault="002F7087" w:rsidP="00250918">
      <w:pPr>
        <w:pStyle w:val="ListParagraph"/>
        <w:numPr>
          <w:ilvl w:val="1"/>
          <w:numId w:val="1"/>
        </w:numPr>
      </w:pPr>
      <w:r>
        <w:t xml:space="preserve">The services agreed </w:t>
      </w:r>
      <w:r w:rsidR="00920190">
        <w:t xml:space="preserve">with Recommendation A </w:t>
      </w:r>
      <w:r>
        <w:t>to s</w:t>
      </w:r>
      <w:r w:rsidRPr="00B82545">
        <w:t>tandardize journal transactions and recording of authorized APF income and expenditures. Under this method, the NAFI and APF entity enter into an annual Memorandum of Agreement (MOA) stating how much appropriated funding the NAFI will receive for the fi</w:t>
      </w:r>
      <w:r w:rsidR="00250918">
        <w:t>scal year</w:t>
      </w:r>
      <w:r w:rsidRPr="00B82545">
        <w:t>.  The NAFI then receives the appropriated funds expected to be utilized for that quarter at the beginning of each quarter.</w:t>
      </w:r>
      <w:r w:rsidR="00250918">
        <w:t xml:space="preserve">  </w:t>
      </w:r>
      <w:r w:rsidRPr="00B82545">
        <w:t xml:space="preserve"> </w:t>
      </w:r>
      <w:r w:rsidR="00250918">
        <w:t xml:space="preserve">This recommendation requires adjustment to the FMR and DoDI 1015.15. </w:t>
      </w:r>
    </w:p>
    <w:p w14:paraId="4240B042" w14:textId="6B588782" w:rsidR="00E30C59" w:rsidRPr="00C8730B" w:rsidRDefault="009E79B2" w:rsidP="00E30C59">
      <w:pPr>
        <w:pStyle w:val="ListParagraph"/>
        <w:numPr>
          <w:ilvl w:val="0"/>
          <w:numId w:val="1"/>
        </w:numPr>
        <w:spacing w:after="160" w:line="259" w:lineRule="auto"/>
      </w:pPr>
      <w:r>
        <w:t xml:space="preserve">Mr. Blain then discussed the </w:t>
      </w:r>
      <w:r w:rsidR="009D1D52" w:rsidRPr="00C8730B">
        <w:t>Commercial Sponsorship</w:t>
      </w:r>
      <w:r>
        <w:t xml:space="preserve"> paper</w:t>
      </w:r>
      <w:r w:rsidR="009D1D52" w:rsidRPr="00C8730B">
        <w:t xml:space="preserve">. </w:t>
      </w:r>
    </w:p>
    <w:p w14:paraId="10D36A42" w14:textId="2C0CB087" w:rsidR="003B5FC1" w:rsidRPr="00C8730B" w:rsidRDefault="003B5FC1" w:rsidP="003B5FC1">
      <w:pPr>
        <w:pStyle w:val="ListParagraph"/>
        <w:numPr>
          <w:ilvl w:val="1"/>
          <w:numId w:val="1"/>
        </w:numPr>
        <w:spacing w:after="160" w:line="259" w:lineRule="auto"/>
      </w:pPr>
      <w:r w:rsidRPr="00C8730B">
        <w:t>This paper recommends that commercial sponsorship</w:t>
      </w:r>
      <w:r w:rsidR="001F4C0F" w:rsidRPr="00C8730B">
        <w:t xml:space="preserve"> income be </w:t>
      </w:r>
      <w:r w:rsidRPr="00C8730B">
        <w:t>recorded as operating income.</w:t>
      </w:r>
    </w:p>
    <w:p w14:paraId="1F440917" w14:textId="5B153597" w:rsidR="002F620A" w:rsidRPr="00C8730B" w:rsidRDefault="00C83512" w:rsidP="00C83512">
      <w:pPr>
        <w:pStyle w:val="ListParagraph"/>
        <w:numPr>
          <w:ilvl w:val="1"/>
          <w:numId w:val="1"/>
        </w:numPr>
        <w:spacing w:after="160" w:line="259" w:lineRule="auto"/>
      </w:pPr>
      <w:r>
        <w:t xml:space="preserve">Ms. </w:t>
      </w:r>
      <w:r w:rsidR="00FB2FDE">
        <w:t>Lipko</w:t>
      </w:r>
      <w:r>
        <w:t xml:space="preserve"> </w:t>
      </w:r>
      <w:r w:rsidR="00342667">
        <w:t>non-concurred</w:t>
      </w:r>
      <w:r w:rsidR="002F620A" w:rsidRPr="00C8730B">
        <w:t xml:space="preserve">. Ms. </w:t>
      </w:r>
      <w:r w:rsidR="00FB2FDE">
        <w:t>Lipko</w:t>
      </w:r>
      <w:r w:rsidR="002F620A" w:rsidRPr="00C8730B">
        <w:t xml:space="preserve"> explains that if commercial sponsorship </w:t>
      </w:r>
      <w:proofErr w:type="gramStart"/>
      <w:r w:rsidR="002F620A" w:rsidRPr="00C8730B">
        <w:t>is recognized</w:t>
      </w:r>
      <w:proofErr w:type="gramEnd"/>
      <w:r w:rsidR="002F620A" w:rsidRPr="00C8730B">
        <w:t xml:space="preserve"> as income rather than equity, then it should be considered as non-operating income. </w:t>
      </w:r>
    </w:p>
    <w:p w14:paraId="7CF78FC7" w14:textId="45EB3A3B" w:rsidR="002F620A" w:rsidRPr="00C8730B" w:rsidRDefault="002F620A" w:rsidP="002F620A">
      <w:pPr>
        <w:pStyle w:val="ListParagraph"/>
        <w:numPr>
          <w:ilvl w:val="1"/>
          <w:numId w:val="1"/>
        </w:numPr>
        <w:spacing w:after="160" w:line="259" w:lineRule="auto"/>
      </w:pPr>
      <w:r w:rsidRPr="00C8730B">
        <w:t>All other serviced concurred with record</w:t>
      </w:r>
      <w:r w:rsidR="00342667">
        <w:t>ing Commercial Sponsorship as</w:t>
      </w:r>
      <w:r w:rsidRPr="00C8730B">
        <w:t xml:space="preserve"> operating income. </w:t>
      </w:r>
    </w:p>
    <w:p w14:paraId="169C6703" w14:textId="39FD92C4" w:rsidR="002F620A" w:rsidRPr="00C8730B" w:rsidRDefault="002F620A" w:rsidP="00C83512">
      <w:pPr>
        <w:pStyle w:val="ListParagraph"/>
        <w:numPr>
          <w:ilvl w:val="1"/>
          <w:numId w:val="1"/>
        </w:numPr>
        <w:spacing w:after="160" w:line="259" w:lineRule="auto"/>
      </w:pPr>
      <w:r w:rsidRPr="00C8730B">
        <w:t>Mr. Blain acknowledged that the A</w:t>
      </w:r>
      <w:r w:rsidR="00342667">
        <w:t>ir Force was in non-concurrence.  OSD will</w:t>
      </w:r>
      <w:r w:rsidRPr="00C8730B">
        <w:t xml:space="preserve"> review the topic. </w:t>
      </w:r>
    </w:p>
    <w:p w14:paraId="6B2F4D45" w14:textId="3EE35A94" w:rsidR="00012309" w:rsidRPr="00C8730B" w:rsidRDefault="00FA68CD" w:rsidP="00012309">
      <w:pPr>
        <w:pStyle w:val="ListParagraph"/>
        <w:numPr>
          <w:ilvl w:val="0"/>
          <w:numId w:val="1"/>
        </w:numPr>
        <w:spacing w:after="160" w:line="259" w:lineRule="auto"/>
      </w:pPr>
      <w:r>
        <w:t xml:space="preserve">Mr. Blain then began discussion of the </w:t>
      </w:r>
      <w:r w:rsidR="00012309" w:rsidRPr="00C8730B">
        <w:t>Prior Period Adjustments</w:t>
      </w:r>
      <w:r>
        <w:t xml:space="preserve"> paper</w:t>
      </w:r>
      <w:r w:rsidR="00012309" w:rsidRPr="00C8730B">
        <w:t xml:space="preserve">. </w:t>
      </w:r>
    </w:p>
    <w:p w14:paraId="3CE5B911" w14:textId="7F3A2ABF" w:rsidR="00463469" w:rsidRPr="00C8730B" w:rsidRDefault="006849BF" w:rsidP="00052E6F">
      <w:pPr>
        <w:pStyle w:val="ListParagraph"/>
        <w:numPr>
          <w:ilvl w:val="0"/>
          <w:numId w:val="20"/>
        </w:numPr>
        <w:spacing w:after="160" w:line="259" w:lineRule="auto"/>
      </w:pPr>
      <w:r w:rsidRPr="00C8730B">
        <w:t xml:space="preserve">This paper recommends </w:t>
      </w:r>
      <w:r w:rsidR="007900B6" w:rsidRPr="00C8730B">
        <w:t xml:space="preserve">that the DoDI 1015.15 be updated to </w:t>
      </w:r>
      <w:r w:rsidR="00463469">
        <w:t>align with the FMR.  If there is a change to a prior period greater than one percent (1%) of the assets in the consolidated balance sheet, a prior period adjustment should be performed.  A</w:t>
      </w:r>
      <w:r w:rsidR="00463469" w:rsidRPr="00773A0E">
        <w:t xml:space="preserve">dditionally, if a prior period adjustment does not meet this </w:t>
      </w:r>
      <w:r w:rsidR="00463469">
        <w:t xml:space="preserve">one percent (1%) </w:t>
      </w:r>
      <w:r w:rsidR="00463469" w:rsidRPr="00773A0E">
        <w:t xml:space="preserve">criteria </w:t>
      </w:r>
      <w:r w:rsidR="00463469">
        <w:t xml:space="preserve">but </w:t>
      </w:r>
      <w:proofErr w:type="gramStart"/>
      <w:r w:rsidR="00463469">
        <w:t>is deemed</w:t>
      </w:r>
      <w:proofErr w:type="gramEnd"/>
      <w:r w:rsidR="00463469">
        <w:t xml:space="preserve"> material,</w:t>
      </w:r>
      <w:r w:rsidR="00463469" w:rsidRPr="00773A0E">
        <w:t xml:space="preserve"> the Service </w:t>
      </w:r>
      <w:r w:rsidR="00463469">
        <w:t>may make a prior period adjustment</w:t>
      </w:r>
      <w:r w:rsidR="00463469" w:rsidRPr="00773A0E">
        <w:t>.</w:t>
      </w:r>
      <w:r w:rsidR="00463469">
        <w:t xml:space="preserve"> </w:t>
      </w:r>
    </w:p>
    <w:p w14:paraId="7B0D2B4C" w14:textId="7154BB38" w:rsidR="007900B6" w:rsidRPr="00C8730B" w:rsidRDefault="007900B6" w:rsidP="007900B6">
      <w:pPr>
        <w:pStyle w:val="ListParagraph"/>
        <w:numPr>
          <w:ilvl w:val="1"/>
          <w:numId w:val="1"/>
        </w:numPr>
        <w:spacing w:after="160" w:line="259" w:lineRule="auto"/>
      </w:pPr>
      <w:r w:rsidRPr="00C8730B">
        <w:t xml:space="preserve">Ms. </w:t>
      </w:r>
      <w:r w:rsidR="00FB2FDE">
        <w:t>Lipko</w:t>
      </w:r>
      <w:r w:rsidRPr="00C8730B">
        <w:t xml:space="preserve"> explained that the Air Force concurs with this policy as long a</w:t>
      </w:r>
      <w:r w:rsidR="00463469">
        <w:t>s there is room for judgment by</w:t>
      </w:r>
      <w:r w:rsidRPr="00C8730B">
        <w:t xml:space="preserve"> the </w:t>
      </w:r>
      <w:r w:rsidR="00752F8B" w:rsidRPr="00C8730B">
        <w:t>S</w:t>
      </w:r>
      <w:r w:rsidRPr="00C8730B">
        <w:t xml:space="preserve">ervices. </w:t>
      </w:r>
    </w:p>
    <w:p w14:paraId="231CFE93" w14:textId="3B4907E1" w:rsidR="007900B6" w:rsidRPr="00C8730B" w:rsidRDefault="007900B6" w:rsidP="007900B6">
      <w:pPr>
        <w:pStyle w:val="ListParagraph"/>
        <w:numPr>
          <w:ilvl w:val="1"/>
          <w:numId w:val="1"/>
        </w:numPr>
        <w:spacing w:after="160" w:line="259" w:lineRule="auto"/>
      </w:pPr>
      <w:r w:rsidRPr="00C8730B">
        <w:t xml:space="preserve">All </w:t>
      </w:r>
      <w:r w:rsidR="00752F8B" w:rsidRPr="00C8730B">
        <w:t>S</w:t>
      </w:r>
      <w:r w:rsidRPr="00C8730B">
        <w:t xml:space="preserve">ervices concurred with the recommendation </w:t>
      </w:r>
      <w:r w:rsidR="00114A1C" w:rsidRPr="00C8730B">
        <w:t>of</w:t>
      </w:r>
      <w:r w:rsidRPr="00C8730B">
        <w:t xml:space="preserve"> the 1%</w:t>
      </w:r>
      <w:r w:rsidR="00114A1C" w:rsidRPr="00C8730B">
        <w:t xml:space="preserve"> threshold for prior period adjustments</w:t>
      </w:r>
      <w:r w:rsidRPr="00C8730B">
        <w:t xml:space="preserve">. </w:t>
      </w:r>
    </w:p>
    <w:p w14:paraId="394D8752" w14:textId="3D1EF871" w:rsidR="00716E40" w:rsidRPr="00C8730B" w:rsidRDefault="00463469" w:rsidP="00AD2BD3">
      <w:pPr>
        <w:pStyle w:val="ListParagraph"/>
        <w:numPr>
          <w:ilvl w:val="0"/>
          <w:numId w:val="1"/>
        </w:numPr>
        <w:spacing w:after="160" w:line="259" w:lineRule="auto"/>
      </w:pPr>
      <w:r>
        <w:t xml:space="preserve">Mr. Blain then discussed the </w:t>
      </w:r>
      <w:r w:rsidR="00AD2BD3" w:rsidRPr="00C8730B">
        <w:t>Ticket Sales</w:t>
      </w:r>
      <w:r>
        <w:t xml:space="preserve"> paper</w:t>
      </w:r>
      <w:r w:rsidR="00AD2BD3" w:rsidRPr="00C8730B">
        <w:t>.</w:t>
      </w:r>
    </w:p>
    <w:p w14:paraId="159C3939" w14:textId="7BC01588" w:rsidR="00717F84" w:rsidRPr="00C8730B" w:rsidRDefault="00717F84" w:rsidP="00AD2BD3">
      <w:pPr>
        <w:pStyle w:val="ListParagraph"/>
        <w:numPr>
          <w:ilvl w:val="1"/>
          <w:numId w:val="1"/>
        </w:numPr>
        <w:spacing w:after="160" w:line="259" w:lineRule="auto"/>
      </w:pPr>
      <w:r w:rsidRPr="00C8730B">
        <w:t xml:space="preserve">This paper </w:t>
      </w:r>
      <w:r w:rsidR="00AD2BD3" w:rsidRPr="00C8730B">
        <w:t xml:space="preserve">reviews the policies pertaining to the </w:t>
      </w:r>
      <w:r w:rsidR="00114A1C" w:rsidRPr="00C8730B">
        <w:t>treatment of consignment ticket sales and tickets purchased for resale</w:t>
      </w:r>
      <w:r w:rsidR="00AD2BD3" w:rsidRPr="00C8730B">
        <w:t>.</w:t>
      </w:r>
      <w:r w:rsidR="00114A1C" w:rsidRPr="00C8730B">
        <w:t xml:space="preserve"> The paper recommends recognizing revenues and expenses related to consignment ticket sales at the time the ticket is sold. Consignment tickets are not to be included in inventory. Additionally, tickets purchased for resale should be included in inventory.</w:t>
      </w:r>
      <w:r w:rsidR="00AD2BD3" w:rsidRPr="00C8730B">
        <w:t xml:space="preserve"> </w:t>
      </w:r>
    </w:p>
    <w:p w14:paraId="50878D76" w14:textId="1306F799" w:rsidR="002744C4" w:rsidRPr="00C8730B" w:rsidRDefault="002744C4" w:rsidP="00AD2BD3">
      <w:pPr>
        <w:pStyle w:val="ListParagraph"/>
        <w:numPr>
          <w:ilvl w:val="1"/>
          <w:numId w:val="1"/>
        </w:numPr>
        <w:spacing w:after="160" w:line="259" w:lineRule="auto"/>
      </w:pPr>
      <w:r w:rsidRPr="00C8730B">
        <w:t xml:space="preserve">All </w:t>
      </w:r>
      <w:r w:rsidR="00752F8B" w:rsidRPr="00C8730B">
        <w:t>S</w:t>
      </w:r>
      <w:r w:rsidRPr="00C8730B">
        <w:t xml:space="preserve">ervices concurred with </w:t>
      </w:r>
      <w:r w:rsidR="00A16BC4" w:rsidRPr="00C8730B">
        <w:t xml:space="preserve">the </w:t>
      </w:r>
      <w:r w:rsidRPr="00C8730B">
        <w:t>recommendation</w:t>
      </w:r>
      <w:r w:rsidR="00A16BC4" w:rsidRPr="00C8730B">
        <w:t xml:space="preserve"> presented by the paper. </w:t>
      </w:r>
      <w:r w:rsidRPr="00C8730B">
        <w:t xml:space="preserve"> </w:t>
      </w:r>
    </w:p>
    <w:p w14:paraId="2DF0AA0A" w14:textId="1CE01675" w:rsidR="00920190" w:rsidRDefault="00134E9F" w:rsidP="00920190">
      <w:pPr>
        <w:pStyle w:val="ListParagraph"/>
        <w:numPr>
          <w:ilvl w:val="0"/>
          <w:numId w:val="21"/>
        </w:numPr>
        <w:spacing w:after="160" w:line="259" w:lineRule="auto"/>
      </w:pPr>
      <w:r w:rsidRPr="00C8730B">
        <w:t>Mr. Blain</w:t>
      </w:r>
      <w:r w:rsidR="00C64AA3" w:rsidRPr="00C8730B">
        <w:t xml:space="preserve"> noted the Position Paper</w:t>
      </w:r>
      <w:r w:rsidR="00C83512">
        <w:t>s</w:t>
      </w:r>
      <w:r w:rsidR="00C64AA3" w:rsidRPr="00C8730B">
        <w:t xml:space="preserve"> </w:t>
      </w:r>
      <w:proofErr w:type="gramStart"/>
      <w:r w:rsidR="00C64AA3" w:rsidRPr="00C8730B">
        <w:t>will</w:t>
      </w:r>
      <w:proofErr w:type="gramEnd"/>
      <w:r w:rsidR="00C64AA3" w:rsidRPr="00C8730B">
        <w:t xml:space="preserve"> be updated, and </w:t>
      </w:r>
      <w:r w:rsidR="00920190">
        <w:t>appropriate policy changes made to the FMR and DoDI 1015.15</w:t>
      </w:r>
      <w:r w:rsidR="00C64AA3" w:rsidRPr="00C8730B">
        <w:t xml:space="preserve">. </w:t>
      </w:r>
    </w:p>
    <w:p w14:paraId="000D7591" w14:textId="701199CE" w:rsidR="00A34878" w:rsidRPr="00C8730B" w:rsidRDefault="00A16BC4" w:rsidP="00920190">
      <w:pPr>
        <w:pStyle w:val="ListParagraph"/>
        <w:numPr>
          <w:ilvl w:val="0"/>
          <w:numId w:val="21"/>
        </w:numPr>
        <w:spacing w:after="160" w:line="259" w:lineRule="auto"/>
      </w:pPr>
      <w:r w:rsidRPr="00C8730B">
        <w:lastRenderedPageBreak/>
        <w:t xml:space="preserve">Ms. Freese thanked Mr. Blain </w:t>
      </w:r>
      <w:r w:rsidR="00072C6A" w:rsidRPr="00C8730B">
        <w:t xml:space="preserve">and noted that concerns such as the non-concurrence for commercial sponsorship and revisions to the DoDI 1015.15 will be </w:t>
      </w:r>
      <w:r w:rsidR="004A2BB5" w:rsidRPr="00C8730B">
        <w:t>discussed</w:t>
      </w:r>
      <w:r w:rsidR="00072C6A" w:rsidRPr="00C8730B">
        <w:t xml:space="preserve"> and further clarity will be provided</w:t>
      </w:r>
      <w:r w:rsidR="0003708A" w:rsidRPr="00C8730B">
        <w:t xml:space="preserve">. </w:t>
      </w:r>
    </w:p>
    <w:p w14:paraId="62AF4AF4" w14:textId="64387295" w:rsidR="00F74D53" w:rsidRPr="00C8730B" w:rsidRDefault="007D7EB2" w:rsidP="00F74D53">
      <w:pPr>
        <w:rPr>
          <w:b/>
          <w:u w:val="single"/>
        </w:rPr>
      </w:pPr>
      <w:r w:rsidRPr="00C8730B">
        <w:rPr>
          <w:b/>
          <w:u w:val="single"/>
        </w:rPr>
        <w:t xml:space="preserve">Wrap-up </w:t>
      </w:r>
      <w:r w:rsidR="00A34878" w:rsidRPr="00C8730B">
        <w:rPr>
          <w:b/>
          <w:u w:val="single"/>
        </w:rPr>
        <w:t>&amp; Action Items – Ms. Paulette Freese</w:t>
      </w:r>
      <w:r w:rsidRPr="00C8730B">
        <w:rPr>
          <w:b/>
          <w:u w:val="single"/>
        </w:rPr>
        <w:t>, MWR &amp; Resale Policy</w:t>
      </w:r>
    </w:p>
    <w:p w14:paraId="5ECF5F06" w14:textId="5A184921" w:rsidR="00F74D53" w:rsidRPr="00C8730B" w:rsidRDefault="00C516B7" w:rsidP="00F74D53">
      <w:pPr>
        <w:pStyle w:val="ListParagraph"/>
        <w:numPr>
          <w:ilvl w:val="0"/>
          <w:numId w:val="18"/>
        </w:numPr>
      </w:pPr>
      <w:r w:rsidRPr="00C8730B">
        <w:t>The working group did not raise</w:t>
      </w:r>
      <w:r w:rsidR="00623C3D" w:rsidRPr="00C8730B">
        <w:t xml:space="preserve"> any</w:t>
      </w:r>
      <w:r w:rsidRPr="00C8730B">
        <w:t xml:space="preserve"> additional questions and Ms. Freese concluded the meeting. </w:t>
      </w:r>
    </w:p>
    <w:p w14:paraId="1BF481D1" w14:textId="42ED3CA6" w:rsidR="00F74D53" w:rsidRPr="00C8730B" w:rsidRDefault="00F74D53" w:rsidP="00F74D53"/>
    <w:p w14:paraId="00D9CD8E" w14:textId="56DF92C2" w:rsidR="00F74D53" w:rsidRPr="00C8730B" w:rsidRDefault="00F74D53" w:rsidP="00F74D53">
      <w:pPr>
        <w:rPr>
          <w:b/>
          <w:u w:val="single"/>
        </w:rPr>
      </w:pPr>
      <w:r w:rsidRPr="00C8730B">
        <w:rPr>
          <w:b/>
          <w:u w:val="single"/>
        </w:rPr>
        <w:t>Action items</w:t>
      </w:r>
    </w:p>
    <w:p w14:paraId="70F19F00" w14:textId="4EA1D018" w:rsidR="007D7EB2" w:rsidRPr="00C8730B" w:rsidRDefault="00920190" w:rsidP="008E7621">
      <w:pPr>
        <w:pStyle w:val="ListParagraph"/>
        <w:numPr>
          <w:ilvl w:val="0"/>
          <w:numId w:val="18"/>
        </w:numPr>
      </w:pPr>
      <w:r>
        <w:t>Navy will provide DoN</w:t>
      </w:r>
      <w:r w:rsidR="008E7621" w:rsidRPr="00C8730B">
        <w:t xml:space="preserve"> </w:t>
      </w:r>
      <w:proofErr w:type="gramStart"/>
      <w:r w:rsidR="008E7621" w:rsidRPr="00C8730B">
        <w:t>policy</w:t>
      </w:r>
      <w:proofErr w:type="gramEnd"/>
      <w:r w:rsidR="008E7621" w:rsidRPr="00C8730B">
        <w:t xml:space="preserve"> document regarding Donations In-kind to OSD and the Grant Thornton team for review. </w:t>
      </w:r>
    </w:p>
    <w:p w14:paraId="69F3D272" w14:textId="41AE0050" w:rsidR="008E7621" w:rsidRPr="00C8730B" w:rsidRDefault="00920190" w:rsidP="008E7621">
      <w:pPr>
        <w:pStyle w:val="ListParagraph"/>
        <w:numPr>
          <w:ilvl w:val="0"/>
          <w:numId w:val="18"/>
        </w:numPr>
      </w:pPr>
      <w:r>
        <w:t>Grant Thornton will create a separate paper for depreciation of assets</w:t>
      </w:r>
      <w:r w:rsidR="00C83512">
        <w:t xml:space="preserve"> purchased through UFM or MOA</w:t>
      </w:r>
      <w:r>
        <w:t>.</w:t>
      </w:r>
    </w:p>
    <w:p w14:paraId="1F171782" w14:textId="2A4E996F" w:rsidR="008E7621" w:rsidRPr="00C8730B" w:rsidRDefault="00920190" w:rsidP="008E7621">
      <w:pPr>
        <w:pStyle w:val="ListParagraph"/>
        <w:numPr>
          <w:ilvl w:val="0"/>
          <w:numId w:val="18"/>
        </w:numPr>
      </w:pPr>
      <w:r>
        <w:t>Appropriate a</w:t>
      </w:r>
      <w:r w:rsidR="00210B22" w:rsidRPr="00C8730B">
        <w:t xml:space="preserve">djustments </w:t>
      </w:r>
      <w:r>
        <w:t xml:space="preserve">recommended </w:t>
      </w:r>
      <w:r w:rsidR="00210B22" w:rsidRPr="00C8730B">
        <w:t>to be made to DoD</w:t>
      </w:r>
      <w:r>
        <w:t>I</w:t>
      </w:r>
      <w:r w:rsidR="00210B22" w:rsidRPr="00C8730B">
        <w:t xml:space="preserve"> 101</w:t>
      </w:r>
      <w:r>
        <w:t>5.15, FMR, and NAFSGL.</w:t>
      </w:r>
      <w:r w:rsidR="00F25CEA" w:rsidRPr="00C8730B">
        <w:t xml:space="preserve"> </w:t>
      </w:r>
    </w:p>
    <w:p w14:paraId="47B8E6D3" w14:textId="77777777" w:rsidR="00C516B7" w:rsidRPr="00C8730B" w:rsidRDefault="00C516B7" w:rsidP="00C516B7"/>
    <w:sectPr w:rsidR="00C516B7" w:rsidRPr="00C8730B" w:rsidSect="00F113B3">
      <w:headerReference w:type="default" r:id="rId8"/>
      <w:footerReference w:type="default" r:id="rId9"/>
      <w:pgSz w:w="12240" w:h="15840" w:code="1"/>
      <w:pgMar w:top="821" w:right="1138" w:bottom="1620" w:left="1985" w:header="864"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C0B26B" w14:textId="77777777" w:rsidR="00D34EE2" w:rsidRDefault="00D34EE2">
      <w:r>
        <w:separator/>
      </w:r>
    </w:p>
  </w:endnote>
  <w:endnote w:type="continuationSeparator" w:id="0">
    <w:p w14:paraId="39BDDACA" w14:textId="77777777" w:rsidR="00D34EE2" w:rsidRDefault="00D34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BFA4CE" w14:textId="77777777" w:rsidR="00170037" w:rsidRDefault="00C67552" w:rsidP="007710D2">
    <w:pPr>
      <w:pStyle w:val="Footer"/>
      <w:jc w:val="center"/>
      <w:rPr>
        <w:rFonts w:ascii="Calibri" w:hAnsi="Calibri"/>
        <w:sz w:val="22"/>
      </w:rPr>
    </w:pPr>
    <w:r w:rsidRPr="007710D2">
      <w:rPr>
        <w:rFonts w:ascii="Calibri" w:hAnsi="Calibri"/>
        <w:sz w:val="22"/>
      </w:rPr>
      <w:t xml:space="preserve">Hosted By </w:t>
    </w:r>
    <w:r>
      <w:rPr>
        <w:rFonts w:ascii="Calibri" w:hAnsi="Calibri"/>
        <w:sz w:val="22"/>
      </w:rPr>
      <w:t xml:space="preserve">MWR and Resale </w:t>
    </w:r>
    <w:r w:rsidRPr="007710D2">
      <w:rPr>
        <w:rFonts w:ascii="Calibri" w:hAnsi="Calibri"/>
        <w:sz w:val="22"/>
      </w:rPr>
      <w:t>Policy (Military Community &amp; Family Policy)</w:t>
    </w:r>
  </w:p>
  <w:p w14:paraId="74222DA7" w14:textId="77777777" w:rsidR="00170037" w:rsidRDefault="004E2B90">
    <w:pPr>
      <w:pStyle w:val="Footer"/>
      <w:rPr>
        <w:rFonts w:ascii="Calibri" w:hAnsi="Calibri"/>
        <w:sz w:val="22"/>
      </w:rPr>
    </w:pPr>
  </w:p>
  <w:p w14:paraId="5E3E500F" w14:textId="77777777" w:rsidR="00170037" w:rsidRPr="007710D2" w:rsidRDefault="00C67552">
    <w:pPr>
      <w:pStyle w:val="Footer"/>
      <w:rPr>
        <w:rFonts w:ascii="Calibri" w:hAnsi="Calibri"/>
        <w:sz w:val="22"/>
      </w:rPr>
    </w:pPr>
    <w:r>
      <w:rPr>
        <w:noProof/>
        <w:sz w:val="28"/>
      </w:rPr>
      <mc:AlternateContent>
        <mc:Choice Requires="wps">
          <w:drawing>
            <wp:anchor distT="0" distB="0" distL="114300" distR="114300" simplePos="0" relativeHeight="251661312" behindDoc="0" locked="0" layoutInCell="1" allowOverlap="1" wp14:anchorId="5A2B0440" wp14:editId="3C267AB1">
              <wp:simplePos x="0" y="0"/>
              <wp:positionH relativeFrom="margin">
                <wp:align>right</wp:align>
              </wp:positionH>
              <wp:positionV relativeFrom="paragraph">
                <wp:posOffset>37465</wp:posOffset>
              </wp:positionV>
              <wp:extent cx="5753100" cy="9525"/>
              <wp:effectExtent l="19050" t="38100" r="38100" b="47625"/>
              <wp:wrapNone/>
              <wp:docPr id="7" name="Straight Connector 7"/>
              <wp:cNvGraphicFramePr/>
              <a:graphic xmlns:a="http://schemas.openxmlformats.org/drawingml/2006/main">
                <a:graphicData uri="http://schemas.microsoft.com/office/word/2010/wordprocessingShape">
                  <wps:wsp>
                    <wps:cNvCnPr/>
                    <wps:spPr>
                      <a:xfrm>
                        <a:off x="0" y="0"/>
                        <a:ext cx="5753100" cy="9525"/>
                      </a:xfrm>
                      <a:prstGeom prst="line">
                        <a:avLst/>
                      </a:prstGeom>
                      <a:ln w="66675" cmpd="thickThi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line w14:anchorId="24E3A242" id="Straight Connector 7" o:spid="_x0000_s1026" style="position:absolute;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01.8pt,2.95pt" to="854.8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" strokecolor="black [3213]" strokeweight="5.25pt">
              <v:stroke linestyle="thickThin" joinstyle="miter"/>
              <w10:wrap anchorx="margin"/>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92018F" w14:textId="77777777" w:rsidR="00D34EE2" w:rsidRDefault="00D34EE2">
      <w:r>
        <w:separator/>
      </w:r>
    </w:p>
  </w:footnote>
  <w:footnote w:type="continuationSeparator" w:id="0">
    <w:p w14:paraId="59202AB9" w14:textId="77777777" w:rsidR="00D34EE2" w:rsidRDefault="00D34E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B9EE3B" w14:textId="66458F1F" w:rsidR="006C4A49" w:rsidRDefault="001B00C5" w:rsidP="006C4A49">
    <w:pPr>
      <w:jc w:val="center"/>
      <w:rPr>
        <w:b/>
        <w:sz w:val="28"/>
      </w:rPr>
    </w:pPr>
    <w:r w:rsidRPr="001B00C5">
      <w:rPr>
        <w:noProof/>
        <w:sz w:val="28"/>
      </w:rPr>
      <mc:AlternateContent>
        <mc:Choice Requires="wps">
          <w:drawing>
            <wp:anchor distT="0" distB="0" distL="114300" distR="114300" simplePos="0" relativeHeight="251660288" behindDoc="0" locked="0" layoutInCell="1" allowOverlap="1" wp14:anchorId="2932382C" wp14:editId="47055D91">
              <wp:simplePos x="0" y="0"/>
              <wp:positionH relativeFrom="margin">
                <wp:posOffset>-1905</wp:posOffset>
              </wp:positionH>
              <wp:positionV relativeFrom="paragraph">
                <wp:posOffset>-355600</wp:posOffset>
              </wp:positionV>
              <wp:extent cx="5743575" cy="9525"/>
              <wp:effectExtent l="19050" t="38100" r="47625" b="47625"/>
              <wp:wrapNone/>
              <wp:docPr id="2" name="Straight Connector 2"/>
              <wp:cNvGraphicFramePr/>
              <a:graphic xmlns:a="http://schemas.openxmlformats.org/drawingml/2006/main">
                <a:graphicData uri="http://schemas.microsoft.com/office/word/2010/wordprocessingShape">
                  <wps:wsp>
                    <wps:cNvCnPr/>
                    <wps:spPr>
                      <a:xfrm>
                        <a:off x="0" y="0"/>
                        <a:ext cx="5743575" cy="9525"/>
                      </a:xfrm>
                      <a:prstGeom prst="line">
                        <a:avLst/>
                      </a:prstGeom>
                      <a:ln w="66675" cmpd="thickThi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line w14:anchorId="05D11151"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28pt" to="452.1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" strokecolor="black [3213]" strokeweight="5.25pt">
              <v:stroke linestyle="thickThin" joinstyle="miter"/>
              <w10:wrap anchorx="margin"/>
            </v:line>
          </w:pict>
        </mc:Fallback>
      </mc:AlternateContent>
    </w:r>
    <w:r w:rsidRPr="001B00C5">
      <w:rPr>
        <w:noProof/>
        <w:sz w:val="28"/>
      </w:rPr>
      <w:drawing>
        <wp:anchor distT="0" distB="0" distL="114300" distR="114300" simplePos="0" relativeHeight="251662336" behindDoc="1" locked="0" layoutInCell="1" allowOverlap="1" wp14:anchorId="07CB5533" wp14:editId="3A451A10">
          <wp:simplePos x="0" y="0"/>
          <wp:positionH relativeFrom="page">
            <wp:posOffset>38100</wp:posOffset>
          </wp:positionH>
          <wp:positionV relativeFrom="paragraph">
            <wp:posOffset>-488950</wp:posOffset>
          </wp:positionV>
          <wp:extent cx="1095375" cy="1095375"/>
          <wp:effectExtent l="0" t="0" r="9525" b="9525"/>
          <wp:wrapTight wrapText="left">
            <wp:wrapPolygon edited="0">
              <wp:start x="0" y="0"/>
              <wp:lineTo x="0" y="21412"/>
              <wp:lineTo x="21412" y="21412"/>
              <wp:lineTo x="21412"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noFill/>
                </pic:spPr>
              </pic:pic>
            </a:graphicData>
          </a:graphic>
          <wp14:sizeRelH relativeFrom="margin">
            <wp14:pctWidth>0</wp14:pctWidth>
          </wp14:sizeRelH>
          <wp14:sizeRelV relativeFrom="margin">
            <wp14:pctHeight>0</wp14:pctHeight>
          </wp14:sizeRelV>
        </wp:anchor>
      </w:drawing>
    </w:r>
    <w:r>
      <w:rPr>
        <w:b/>
        <w:sz w:val="28"/>
      </w:rPr>
      <w:t>D</w:t>
    </w:r>
    <w:r w:rsidR="006C4A49">
      <w:rPr>
        <w:b/>
        <w:sz w:val="28"/>
      </w:rPr>
      <w:t xml:space="preserve">oD </w:t>
    </w:r>
    <w:r w:rsidR="006C4A49" w:rsidRPr="00091720">
      <w:rPr>
        <w:b/>
        <w:sz w:val="28"/>
      </w:rPr>
      <w:t xml:space="preserve">NAF Accounting Working Group </w:t>
    </w:r>
  </w:p>
  <w:p w14:paraId="23F52015" w14:textId="77777777" w:rsidR="006C4A49" w:rsidRPr="00091720" w:rsidRDefault="006C4A49" w:rsidP="006C4A49">
    <w:pPr>
      <w:jc w:val="center"/>
      <w:rPr>
        <w:b/>
        <w:sz w:val="28"/>
      </w:rPr>
    </w:pPr>
    <w:r w:rsidRPr="00091720">
      <w:rPr>
        <w:b/>
        <w:sz w:val="28"/>
      </w:rPr>
      <w:t>Meeting Minutes</w:t>
    </w:r>
  </w:p>
  <w:p w14:paraId="0DDC8685" w14:textId="54236394" w:rsidR="006C4A49" w:rsidRPr="00091720" w:rsidRDefault="006C4A49" w:rsidP="006C4A49">
    <w:pPr>
      <w:jc w:val="center"/>
    </w:pPr>
    <w:r w:rsidRPr="00091720">
      <w:t xml:space="preserve">Thursday, </w:t>
    </w:r>
    <w:r>
      <w:t>September 20th, 2018</w:t>
    </w:r>
  </w:p>
  <w:p w14:paraId="60215B54" w14:textId="37080D9A" w:rsidR="006C4A49" w:rsidRPr="00960898" w:rsidRDefault="006C4A49" w:rsidP="006C4A49">
    <w:pPr>
      <w:jc w:val="center"/>
    </w:pPr>
    <w:r>
      <w:t>0900-11</w:t>
    </w:r>
    <w:r w:rsidRPr="00091720">
      <w:t>00 EDT</w:t>
    </w:r>
  </w:p>
  <w:p w14:paraId="0E5BAA18" w14:textId="264413D7" w:rsidR="00A17181" w:rsidRPr="001B00C5" w:rsidRDefault="00A17181" w:rsidP="006C4A49">
    <w:pPr>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63727"/>
    <w:multiLevelType w:val="hybridMultilevel"/>
    <w:tmpl w:val="2FDA3EC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E2B3989"/>
    <w:multiLevelType w:val="hybridMultilevel"/>
    <w:tmpl w:val="56686B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6B4266"/>
    <w:multiLevelType w:val="hybridMultilevel"/>
    <w:tmpl w:val="A86A62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40275B"/>
    <w:multiLevelType w:val="hybridMultilevel"/>
    <w:tmpl w:val="EAA685AE"/>
    <w:lvl w:ilvl="0" w:tplc="C0C0F7BE">
      <w:start w:val="1"/>
      <w:numFmt w:val="bullet"/>
      <w:lvlText w:val=""/>
      <w:lvlJc w:val="left"/>
      <w:pPr>
        <w:ind w:left="810" w:hanging="45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737F72"/>
    <w:multiLevelType w:val="hybridMultilevel"/>
    <w:tmpl w:val="B2029E92"/>
    <w:lvl w:ilvl="0" w:tplc="58D8D944">
      <w:start w:val="1"/>
      <w:numFmt w:val="decimal"/>
      <w:lvlText w:val="%1."/>
      <w:lvlJc w:val="left"/>
      <w:pPr>
        <w:ind w:left="-1080" w:hanging="360"/>
      </w:pPr>
      <w:rPr>
        <w:rFonts w:hint="default"/>
      </w:rPr>
    </w:lvl>
    <w:lvl w:ilvl="1" w:tplc="04090019">
      <w:start w:val="1"/>
      <w:numFmt w:val="lowerLetter"/>
      <w:lvlText w:val="%2."/>
      <w:lvlJc w:val="left"/>
      <w:pPr>
        <w:ind w:left="-360" w:hanging="360"/>
      </w:pPr>
    </w:lvl>
    <w:lvl w:ilvl="2" w:tplc="0409001B">
      <w:start w:val="1"/>
      <w:numFmt w:val="lowerRoman"/>
      <w:lvlText w:val="%3."/>
      <w:lvlJc w:val="right"/>
      <w:pPr>
        <w:ind w:left="360" w:hanging="180"/>
      </w:pPr>
    </w:lvl>
    <w:lvl w:ilvl="3" w:tplc="0409000F">
      <w:start w:val="1"/>
      <w:numFmt w:val="decimal"/>
      <w:lvlText w:val="%4."/>
      <w:lvlJc w:val="left"/>
      <w:pPr>
        <w:ind w:left="108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abstractNum w:abstractNumId="5" w15:restartNumberingAfterBreak="0">
    <w:nsid w:val="1B3F6A31"/>
    <w:multiLevelType w:val="hybridMultilevel"/>
    <w:tmpl w:val="56544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AA7148"/>
    <w:multiLevelType w:val="hybridMultilevel"/>
    <w:tmpl w:val="AE6C1A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6B93D13"/>
    <w:multiLevelType w:val="hybridMultilevel"/>
    <w:tmpl w:val="71E4B2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1716FB"/>
    <w:multiLevelType w:val="hybridMultilevel"/>
    <w:tmpl w:val="909A00F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BB14700"/>
    <w:multiLevelType w:val="hybridMultilevel"/>
    <w:tmpl w:val="1EBC7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4A523F"/>
    <w:multiLevelType w:val="hybridMultilevel"/>
    <w:tmpl w:val="D7C6790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45DF3628"/>
    <w:multiLevelType w:val="hybridMultilevel"/>
    <w:tmpl w:val="AEA443B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6FD2E17"/>
    <w:multiLevelType w:val="hybridMultilevel"/>
    <w:tmpl w:val="447808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5125CC"/>
    <w:multiLevelType w:val="hybridMultilevel"/>
    <w:tmpl w:val="C5CA4A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383CCC"/>
    <w:multiLevelType w:val="hybridMultilevel"/>
    <w:tmpl w:val="9EC0B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AA4EFB"/>
    <w:multiLevelType w:val="hybridMultilevel"/>
    <w:tmpl w:val="68026EF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D47B92"/>
    <w:multiLevelType w:val="hybridMultilevel"/>
    <w:tmpl w:val="C91CB6BC"/>
    <w:lvl w:ilvl="0" w:tplc="D5801938">
      <w:numFmt w:val="bullet"/>
      <w:lvlText w:val="-"/>
      <w:lvlJc w:val="left"/>
      <w:pPr>
        <w:ind w:left="720" w:hanging="360"/>
      </w:pPr>
      <w:rPr>
        <w:rFonts w:ascii="Garamond" w:eastAsia="Times New Roman" w:hAnsi="Garamond"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EF42B9"/>
    <w:multiLevelType w:val="hybridMultilevel"/>
    <w:tmpl w:val="EDB4D7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9D595E"/>
    <w:multiLevelType w:val="hybridMultilevel"/>
    <w:tmpl w:val="920432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5C1A75"/>
    <w:multiLevelType w:val="hybridMultilevel"/>
    <w:tmpl w:val="86CCE1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8"/>
  </w:num>
  <w:num w:numId="4">
    <w:abstractNumId w:val="17"/>
  </w:num>
  <w:num w:numId="5">
    <w:abstractNumId w:val="7"/>
  </w:num>
  <w:num w:numId="6">
    <w:abstractNumId w:val="10"/>
  </w:num>
  <w:num w:numId="7">
    <w:abstractNumId w:val="18"/>
  </w:num>
  <w:num w:numId="8">
    <w:abstractNumId w:val="15"/>
  </w:num>
  <w:num w:numId="9">
    <w:abstractNumId w:val="16"/>
  </w:num>
  <w:num w:numId="10">
    <w:abstractNumId w:val="3"/>
  </w:num>
  <w:num w:numId="11">
    <w:abstractNumId w:val="13"/>
  </w:num>
  <w:num w:numId="12">
    <w:abstractNumId w:val="11"/>
  </w:num>
  <w:num w:numId="13">
    <w:abstractNumId w:val="14"/>
  </w:num>
  <w:num w:numId="14">
    <w:abstractNumId w:val="3"/>
  </w:num>
  <w:num w:numId="15">
    <w:abstractNumId w:val="5"/>
  </w:num>
  <w:num w:numId="16">
    <w:abstractNumId w:val="2"/>
  </w:num>
  <w:num w:numId="17">
    <w:abstractNumId w:val="19"/>
  </w:num>
  <w:num w:numId="18">
    <w:abstractNumId w:val="12"/>
  </w:num>
  <w:num w:numId="19">
    <w:abstractNumId w:val="4"/>
  </w:num>
  <w:num w:numId="20">
    <w:abstractNumId w:val="0"/>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9E8"/>
    <w:rsid w:val="00002FE0"/>
    <w:rsid w:val="0001180D"/>
    <w:rsid w:val="00012309"/>
    <w:rsid w:val="00021461"/>
    <w:rsid w:val="00027216"/>
    <w:rsid w:val="0003708A"/>
    <w:rsid w:val="00043E58"/>
    <w:rsid w:val="00045963"/>
    <w:rsid w:val="00055F07"/>
    <w:rsid w:val="00064ED7"/>
    <w:rsid w:val="00072C6A"/>
    <w:rsid w:val="00077E06"/>
    <w:rsid w:val="00083A47"/>
    <w:rsid w:val="000A4F8A"/>
    <w:rsid w:val="000B60F6"/>
    <w:rsid w:val="000C4C07"/>
    <w:rsid w:val="000D4686"/>
    <w:rsid w:val="000D48C4"/>
    <w:rsid w:val="000D7F0D"/>
    <w:rsid w:val="000F05FD"/>
    <w:rsid w:val="000F307D"/>
    <w:rsid w:val="00114A1C"/>
    <w:rsid w:val="00120EF3"/>
    <w:rsid w:val="001335D8"/>
    <w:rsid w:val="00134DB3"/>
    <w:rsid w:val="00134E9F"/>
    <w:rsid w:val="0014290F"/>
    <w:rsid w:val="00172B51"/>
    <w:rsid w:val="001842B1"/>
    <w:rsid w:val="00191EC9"/>
    <w:rsid w:val="001943F4"/>
    <w:rsid w:val="001946A0"/>
    <w:rsid w:val="00196206"/>
    <w:rsid w:val="001A640F"/>
    <w:rsid w:val="001B00C5"/>
    <w:rsid w:val="001B13B5"/>
    <w:rsid w:val="001E6DE3"/>
    <w:rsid w:val="001F4C0F"/>
    <w:rsid w:val="001F6496"/>
    <w:rsid w:val="001F7F75"/>
    <w:rsid w:val="0020164D"/>
    <w:rsid w:val="002038D5"/>
    <w:rsid w:val="002068BC"/>
    <w:rsid w:val="00210B22"/>
    <w:rsid w:val="002158AA"/>
    <w:rsid w:val="00224C5E"/>
    <w:rsid w:val="00227F69"/>
    <w:rsid w:val="00231FC8"/>
    <w:rsid w:val="00242AD8"/>
    <w:rsid w:val="00250918"/>
    <w:rsid w:val="002718A7"/>
    <w:rsid w:val="002744C4"/>
    <w:rsid w:val="00280853"/>
    <w:rsid w:val="002879A9"/>
    <w:rsid w:val="002A21C8"/>
    <w:rsid w:val="002B3F7D"/>
    <w:rsid w:val="002C2FD3"/>
    <w:rsid w:val="002D1D3C"/>
    <w:rsid w:val="002D69C1"/>
    <w:rsid w:val="002E76D9"/>
    <w:rsid w:val="002F620A"/>
    <w:rsid w:val="002F7087"/>
    <w:rsid w:val="0030657B"/>
    <w:rsid w:val="0031230A"/>
    <w:rsid w:val="00342667"/>
    <w:rsid w:val="003445A0"/>
    <w:rsid w:val="003505E5"/>
    <w:rsid w:val="003516F4"/>
    <w:rsid w:val="0036482D"/>
    <w:rsid w:val="00375753"/>
    <w:rsid w:val="003A437E"/>
    <w:rsid w:val="003B5FC1"/>
    <w:rsid w:val="003E4441"/>
    <w:rsid w:val="003E5589"/>
    <w:rsid w:val="003F5D88"/>
    <w:rsid w:val="003F63B4"/>
    <w:rsid w:val="00403F2B"/>
    <w:rsid w:val="00407DD2"/>
    <w:rsid w:val="00412406"/>
    <w:rsid w:val="00421F54"/>
    <w:rsid w:val="0043229A"/>
    <w:rsid w:val="00442F06"/>
    <w:rsid w:val="004472EC"/>
    <w:rsid w:val="004510CA"/>
    <w:rsid w:val="00460D89"/>
    <w:rsid w:val="00463469"/>
    <w:rsid w:val="004654B7"/>
    <w:rsid w:val="004675F6"/>
    <w:rsid w:val="00471AAC"/>
    <w:rsid w:val="00473A0E"/>
    <w:rsid w:val="00473CA6"/>
    <w:rsid w:val="004760FF"/>
    <w:rsid w:val="00487A12"/>
    <w:rsid w:val="004A2BB5"/>
    <w:rsid w:val="004B0F61"/>
    <w:rsid w:val="004E2B90"/>
    <w:rsid w:val="004E707A"/>
    <w:rsid w:val="004F0206"/>
    <w:rsid w:val="00515595"/>
    <w:rsid w:val="00524DD4"/>
    <w:rsid w:val="00544EAE"/>
    <w:rsid w:val="005469CA"/>
    <w:rsid w:val="0056777A"/>
    <w:rsid w:val="005758B4"/>
    <w:rsid w:val="005813A6"/>
    <w:rsid w:val="00582378"/>
    <w:rsid w:val="00583E6C"/>
    <w:rsid w:val="00590389"/>
    <w:rsid w:val="005A132E"/>
    <w:rsid w:val="005B2ED1"/>
    <w:rsid w:val="005D6007"/>
    <w:rsid w:val="005D72E4"/>
    <w:rsid w:val="005F095A"/>
    <w:rsid w:val="005F303D"/>
    <w:rsid w:val="005F39E8"/>
    <w:rsid w:val="005F5759"/>
    <w:rsid w:val="005F7C1E"/>
    <w:rsid w:val="006057E9"/>
    <w:rsid w:val="00606A26"/>
    <w:rsid w:val="00623C3D"/>
    <w:rsid w:val="00631DF7"/>
    <w:rsid w:val="006571B8"/>
    <w:rsid w:val="00657990"/>
    <w:rsid w:val="00662CB3"/>
    <w:rsid w:val="006674A3"/>
    <w:rsid w:val="00673A1E"/>
    <w:rsid w:val="006849BF"/>
    <w:rsid w:val="006907EE"/>
    <w:rsid w:val="006913B0"/>
    <w:rsid w:val="006A06B4"/>
    <w:rsid w:val="006B7839"/>
    <w:rsid w:val="006C4A49"/>
    <w:rsid w:val="006D1886"/>
    <w:rsid w:val="006D5D5A"/>
    <w:rsid w:val="006E08DC"/>
    <w:rsid w:val="006E548D"/>
    <w:rsid w:val="00716E40"/>
    <w:rsid w:val="00717F84"/>
    <w:rsid w:val="00752F8B"/>
    <w:rsid w:val="00775CA7"/>
    <w:rsid w:val="007900B6"/>
    <w:rsid w:val="007A1AE2"/>
    <w:rsid w:val="007B245D"/>
    <w:rsid w:val="007B4433"/>
    <w:rsid w:val="007B69DB"/>
    <w:rsid w:val="007D7EB2"/>
    <w:rsid w:val="00802A93"/>
    <w:rsid w:val="00824C06"/>
    <w:rsid w:val="00832F05"/>
    <w:rsid w:val="00833591"/>
    <w:rsid w:val="00851DC0"/>
    <w:rsid w:val="00855FEF"/>
    <w:rsid w:val="00870ADF"/>
    <w:rsid w:val="00880F28"/>
    <w:rsid w:val="00886C52"/>
    <w:rsid w:val="0089518B"/>
    <w:rsid w:val="00897193"/>
    <w:rsid w:val="008A26AD"/>
    <w:rsid w:val="008C42AB"/>
    <w:rsid w:val="008C7A40"/>
    <w:rsid w:val="008D3B49"/>
    <w:rsid w:val="008E2BF5"/>
    <w:rsid w:val="008E7621"/>
    <w:rsid w:val="00904459"/>
    <w:rsid w:val="00916BE0"/>
    <w:rsid w:val="00920190"/>
    <w:rsid w:val="00936B20"/>
    <w:rsid w:val="00971B2C"/>
    <w:rsid w:val="009A1BFA"/>
    <w:rsid w:val="009C3E51"/>
    <w:rsid w:val="009D1D52"/>
    <w:rsid w:val="009D457F"/>
    <w:rsid w:val="009E79B2"/>
    <w:rsid w:val="009F32CB"/>
    <w:rsid w:val="00A14F85"/>
    <w:rsid w:val="00A16BC4"/>
    <w:rsid w:val="00A17094"/>
    <w:rsid w:val="00A17181"/>
    <w:rsid w:val="00A34878"/>
    <w:rsid w:val="00A40246"/>
    <w:rsid w:val="00A419D8"/>
    <w:rsid w:val="00A44C2F"/>
    <w:rsid w:val="00A44ED0"/>
    <w:rsid w:val="00A55939"/>
    <w:rsid w:val="00A7026F"/>
    <w:rsid w:val="00A72C91"/>
    <w:rsid w:val="00A74D9A"/>
    <w:rsid w:val="00A95DBF"/>
    <w:rsid w:val="00AA7572"/>
    <w:rsid w:val="00AD2BD3"/>
    <w:rsid w:val="00AD5B37"/>
    <w:rsid w:val="00AE0124"/>
    <w:rsid w:val="00AE4E0F"/>
    <w:rsid w:val="00B0549E"/>
    <w:rsid w:val="00B233DE"/>
    <w:rsid w:val="00B34A02"/>
    <w:rsid w:val="00B44F95"/>
    <w:rsid w:val="00B54C9F"/>
    <w:rsid w:val="00B629AB"/>
    <w:rsid w:val="00B6621A"/>
    <w:rsid w:val="00B86EF8"/>
    <w:rsid w:val="00BA63E5"/>
    <w:rsid w:val="00BF0D42"/>
    <w:rsid w:val="00C065CF"/>
    <w:rsid w:val="00C149D0"/>
    <w:rsid w:val="00C32142"/>
    <w:rsid w:val="00C516B7"/>
    <w:rsid w:val="00C53B7D"/>
    <w:rsid w:val="00C5781A"/>
    <w:rsid w:val="00C634A2"/>
    <w:rsid w:val="00C64AA3"/>
    <w:rsid w:val="00C67552"/>
    <w:rsid w:val="00C736C7"/>
    <w:rsid w:val="00C80C62"/>
    <w:rsid w:val="00C83512"/>
    <w:rsid w:val="00C8730B"/>
    <w:rsid w:val="00C922D7"/>
    <w:rsid w:val="00C96F20"/>
    <w:rsid w:val="00CB17CB"/>
    <w:rsid w:val="00CC3125"/>
    <w:rsid w:val="00CC51BE"/>
    <w:rsid w:val="00CC6E12"/>
    <w:rsid w:val="00CD18AE"/>
    <w:rsid w:val="00CD2CD0"/>
    <w:rsid w:val="00CD5E07"/>
    <w:rsid w:val="00CE48C2"/>
    <w:rsid w:val="00CF0C24"/>
    <w:rsid w:val="00CF5B84"/>
    <w:rsid w:val="00CF7544"/>
    <w:rsid w:val="00D2391E"/>
    <w:rsid w:val="00D24FFD"/>
    <w:rsid w:val="00D2606B"/>
    <w:rsid w:val="00D2761B"/>
    <w:rsid w:val="00D31017"/>
    <w:rsid w:val="00D34EE2"/>
    <w:rsid w:val="00D4592C"/>
    <w:rsid w:val="00D6453A"/>
    <w:rsid w:val="00D67F23"/>
    <w:rsid w:val="00D76BFA"/>
    <w:rsid w:val="00D90242"/>
    <w:rsid w:val="00D921A4"/>
    <w:rsid w:val="00D97EBC"/>
    <w:rsid w:val="00DB0375"/>
    <w:rsid w:val="00DB4B07"/>
    <w:rsid w:val="00DB5B75"/>
    <w:rsid w:val="00DC257D"/>
    <w:rsid w:val="00DC5A6E"/>
    <w:rsid w:val="00DC5DC7"/>
    <w:rsid w:val="00DC74D8"/>
    <w:rsid w:val="00DD1E10"/>
    <w:rsid w:val="00DD525F"/>
    <w:rsid w:val="00DD64FF"/>
    <w:rsid w:val="00E0013C"/>
    <w:rsid w:val="00E20C6A"/>
    <w:rsid w:val="00E26922"/>
    <w:rsid w:val="00E30C59"/>
    <w:rsid w:val="00E312FB"/>
    <w:rsid w:val="00E371C7"/>
    <w:rsid w:val="00E52208"/>
    <w:rsid w:val="00E52637"/>
    <w:rsid w:val="00E62335"/>
    <w:rsid w:val="00E63191"/>
    <w:rsid w:val="00E65179"/>
    <w:rsid w:val="00E6530C"/>
    <w:rsid w:val="00E8284F"/>
    <w:rsid w:val="00E83A4F"/>
    <w:rsid w:val="00E83ACB"/>
    <w:rsid w:val="00EB6588"/>
    <w:rsid w:val="00EB7F08"/>
    <w:rsid w:val="00EC5DD0"/>
    <w:rsid w:val="00ED1300"/>
    <w:rsid w:val="00EE22A9"/>
    <w:rsid w:val="00EE2FFD"/>
    <w:rsid w:val="00EE55D4"/>
    <w:rsid w:val="00F01F53"/>
    <w:rsid w:val="00F14660"/>
    <w:rsid w:val="00F25CEA"/>
    <w:rsid w:val="00F3301E"/>
    <w:rsid w:val="00F41616"/>
    <w:rsid w:val="00F641FE"/>
    <w:rsid w:val="00F70A6C"/>
    <w:rsid w:val="00F74D53"/>
    <w:rsid w:val="00FA093B"/>
    <w:rsid w:val="00FA68CD"/>
    <w:rsid w:val="00FB2FDE"/>
    <w:rsid w:val="00FB4D2A"/>
    <w:rsid w:val="00FC3F30"/>
    <w:rsid w:val="00FC5C79"/>
    <w:rsid w:val="00FD1057"/>
    <w:rsid w:val="00FE04AB"/>
    <w:rsid w:val="00FE5C62"/>
    <w:rsid w:val="00FF03C3"/>
    <w:rsid w:val="00FF3E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BCC9FEB"/>
  <w15:chartTrackingRefBased/>
  <w15:docId w15:val="{D8A261BA-4E6E-4256-91B3-BE3FFF6DD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39E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5F39E8"/>
    <w:pPr>
      <w:tabs>
        <w:tab w:val="right" w:pos="8562"/>
      </w:tabs>
      <w:spacing w:after="0" w:line="240" w:lineRule="auto"/>
    </w:pPr>
    <w:rPr>
      <w:rFonts w:ascii="Arial" w:eastAsia="Times New Roman" w:hAnsi="Arial" w:cs="Arial"/>
      <w:b/>
      <w:color w:val="747678"/>
      <w:sz w:val="16"/>
      <w:szCs w:val="20"/>
    </w:rPr>
  </w:style>
  <w:style w:type="character" w:customStyle="1" w:styleId="HeaderChar">
    <w:name w:val="Header Char"/>
    <w:basedOn w:val="DefaultParagraphFont"/>
    <w:link w:val="Header"/>
    <w:rsid w:val="005F39E8"/>
    <w:rPr>
      <w:rFonts w:ascii="Arial" w:eastAsia="Times New Roman" w:hAnsi="Arial" w:cs="Arial"/>
      <w:b/>
      <w:color w:val="747678"/>
      <w:sz w:val="16"/>
      <w:szCs w:val="20"/>
    </w:rPr>
  </w:style>
  <w:style w:type="paragraph" w:styleId="Footer">
    <w:name w:val="footer"/>
    <w:link w:val="FooterChar"/>
    <w:rsid w:val="005F39E8"/>
    <w:pPr>
      <w:tabs>
        <w:tab w:val="center" w:pos="4153"/>
        <w:tab w:val="right" w:pos="8306"/>
      </w:tabs>
      <w:spacing w:after="0" w:line="240" w:lineRule="auto"/>
    </w:pPr>
    <w:rPr>
      <w:rFonts w:ascii="Arial" w:eastAsia="Times New Roman" w:hAnsi="Arial" w:cs="Arial"/>
      <w:b/>
      <w:color w:val="747678"/>
      <w:sz w:val="13"/>
      <w:szCs w:val="20"/>
    </w:rPr>
  </w:style>
  <w:style w:type="character" w:customStyle="1" w:styleId="FooterChar">
    <w:name w:val="Footer Char"/>
    <w:basedOn w:val="DefaultParagraphFont"/>
    <w:link w:val="Footer"/>
    <w:rsid w:val="005F39E8"/>
    <w:rPr>
      <w:rFonts w:ascii="Arial" w:eastAsia="Times New Roman" w:hAnsi="Arial" w:cs="Arial"/>
      <w:b/>
      <w:color w:val="747678"/>
      <w:sz w:val="13"/>
      <w:szCs w:val="20"/>
    </w:rPr>
  </w:style>
  <w:style w:type="paragraph" w:styleId="ListParagraph">
    <w:name w:val="List Paragraph"/>
    <w:basedOn w:val="Normal"/>
    <w:uiPriority w:val="34"/>
    <w:qFormat/>
    <w:rsid w:val="005F39E8"/>
    <w:pPr>
      <w:ind w:left="720"/>
      <w:contextualSpacing/>
    </w:pPr>
  </w:style>
  <w:style w:type="table" w:styleId="TableGrid">
    <w:name w:val="Table Grid"/>
    <w:basedOn w:val="TableNormal"/>
    <w:uiPriority w:val="39"/>
    <w:rsid w:val="00606A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D5B37"/>
    <w:rPr>
      <w:sz w:val="16"/>
      <w:szCs w:val="16"/>
    </w:rPr>
  </w:style>
  <w:style w:type="paragraph" w:styleId="CommentText">
    <w:name w:val="annotation text"/>
    <w:basedOn w:val="Normal"/>
    <w:link w:val="CommentTextChar"/>
    <w:uiPriority w:val="99"/>
    <w:semiHidden/>
    <w:unhideWhenUsed/>
    <w:rsid w:val="00AD5B37"/>
    <w:rPr>
      <w:sz w:val="20"/>
      <w:szCs w:val="20"/>
    </w:rPr>
  </w:style>
  <w:style w:type="character" w:customStyle="1" w:styleId="CommentTextChar">
    <w:name w:val="Comment Text Char"/>
    <w:basedOn w:val="DefaultParagraphFont"/>
    <w:link w:val="CommentText"/>
    <w:uiPriority w:val="99"/>
    <w:semiHidden/>
    <w:rsid w:val="00AD5B3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D5B37"/>
    <w:rPr>
      <w:b/>
      <w:bCs/>
    </w:rPr>
  </w:style>
  <w:style w:type="character" w:customStyle="1" w:styleId="CommentSubjectChar">
    <w:name w:val="Comment Subject Char"/>
    <w:basedOn w:val="CommentTextChar"/>
    <w:link w:val="CommentSubject"/>
    <w:uiPriority w:val="99"/>
    <w:semiHidden/>
    <w:rsid w:val="00AD5B37"/>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D5B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5B3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275976">
      <w:bodyDiv w:val="1"/>
      <w:marLeft w:val="0"/>
      <w:marRight w:val="0"/>
      <w:marTop w:val="0"/>
      <w:marBottom w:val="0"/>
      <w:divBdr>
        <w:top w:val="none" w:sz="0" w:space="0" w:color="auto"/>
        <w:left w:val="none" w:sz="0" w:space="0" w:color="auto"/>
        <w:bottom w:val="none" w:sz="0" w:space="0" w:color="auto"/>
        <w:right w:val="none" w:sz="0" w:space="0" w:color="auto"/>
      </w:divBdr>
    </w:div>
    <w:div w:id="993335966">
      <w:bodyDiv w:val="1"/>
      <w:marLeft w:val="0"/>
      <w:marRight w:val="0"/>
      <w:marTop w:val="0"/>
      <w:marBottom w:val="0"/>
      <w:divBdr>
        <w:top w:val="none" w:sz="0" w:space="0" w:color="auto"/>
        <w:left w:val="none" w:sz="0" w:space="0" w:color="auto"/>
        <w:bottom w:val="none" w:sz="0" w:space="0" w:color="auto"/>
        <w:right w:val="none" w:sz="0" w:space="0" w:color="auto"/>
      </w:divBdr>
    </w:div>
    <w:div w:id="1725718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9A08A9FCA28CC44BD8AC3EA2F2FFBC6" ma:contentTypeVersion="3" ma:contentTypeDescription="Create a new document." ma:contentTypeScope="" ma:versionID="a75a9374bd4bf3962c851e08eaa9df80">
  <xsd:schema xmlns:xsd="http://www.w3.org/2001/XMLSchema" xmlns:xs="http://www.w3.org/2001/XMLSchema" xmlns:p="http://schemas.microsoft.com/office/2006/metadata/properties" xmlns:ns2="eabf6a06-55a6-4b19-8426-4bedff7e76f3" targetNamespace="http://schemas.microsoft.com/office/2006/metadata/properties" ma:root="true" ma:fieldsID="8bfc908d45c0840691eac5812cc85001" ns2:_="">
    <xsd:import namespace="eabf6a06-55a6-4b19-8426-4bedff7e76f3"/>
    <xsd:element name="properties">
      <xsd:complexType>
        <xsd:sequence>
          <xsd:element name="documentManagement">
            <xsd:complexType>
              <xsd:all>
                <xsd:element ref="ns2:Meeting_x0020_Dat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bf6a06-55a6-4b19-8426-4bedff7e76f3" elementFormDefault="qualified">
    <xsd:import namespace="http://schemas.microsoft.com/office/2006/documentManagement/types"/>
    <xsd:import namespace="http://schemas.microsoft.com/office/infopath/2007/PartnerControls"/>
    <xsd:element name="Meeting_x0020_Date" ma:index="8" ma:displayName="Meeting Date" ma:default="[today]"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eeting_x0020_Date xmlns="eabf6a06-55a6-4b19-8426-4bedff7e76f3">2019-02-26T05:00:00+00:00</Meeting_x0020_Date>
  </documentManagement>
</p:properties>
</file>

<file path=customXml/itemProps1.xml><?xml version="1.0" encoding="utf-8"?>
<ds:datastoreItem xmlns:ds="http://schemas.openxmlformats.org/officeDocument/2006/customXml" ds:itemID="{2E1A8E98-0379-4D55-B591-F3A59CBED82C}">
  <ds:schemaRefs>
    <ds:schemaRef ds:uri="http://schemas.openxmlformats.org/officeDocument/2006/bibliography"/>
  </ds:schemaRefs>
</ds:datastoreItem>
</file>

<file path=customXml/itemProps2.xml><?xml version="1.0" encoding="utf-8"?>
<ds:datastoreItem xmlns:ds="http://schemas.openxmlformats.org/officeDocument/2006/customXml" ds:itemID="{55C5C61A-3F0F-4F44-8FC8-7F8A0911CCAE}"/>
</file>

<file path=customXml/itemProps3.xml><?xml version="1.0" encoding="utf-8"?>
<ds:datastoreItem xmlns:ds="http://schemas.openxmlformats.org/officeDocument/2006/customXml" ds:itemID="{8DBC1C4C-F0C2-48DD-8161-63CB4AA1678F}"/>
</file>

<file path=customXml/itemProps4.xml><?xml version="1.0" encoding="utf-8"?>
<ds:datastoreItem xmlns:ds="http://schemas.openxmlformats.org/officeDocument/2006/customXml" ds:itemID="{410E4798-9A90-4DDE-A46D-CC0164FE5225}"/>
</file>

<file path=docProps/app.xml><?xml version="1.0" encoding="utf-8"?>
<Properties xmlns="http://schemas.openxmlformats.org/officeDocument/2006/extended-properties" xmlns:vt="http://schemas.openxmlformats.org/officeDocument/2006/docPropsVTypes">
  <Template>Normal.dotm</Template>
  <TotalTime>1</TotalTime>
  <Pages>6</Pages>
  <Words>1827</Words>
  <Characters>10419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Grant Thornton LLP</Company>
  <LinksUpToDate>false</LinksUpToDate>
  <CharactersWithSpaces>12222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Higginbotham, Sumner</dc:creator>
  <cp:keywords/>
  <dc:description/>
  <cp:lastModifiedBy>CurtisMR</cp:lastModifiedBy>
  <cp:revision>2</cp:revision>
  <dcterms:created xsi:type="dcterms:W3CDTF">2018-10-19T20:15:00Z</dcterms:created>
  <dcterms:modified xsi:type="dcterms:W3CDTF">2018-10-19T20:15:00Z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0x010100D9A08A9FCA28CC44BD8AC3EA2F2FFBC6</vt:lpwstr>
  </property>
</Properties>
</file>